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56" w:rsidRDefault="00F77556">
      <w:pPr>
        <w:spacing w:after="160" w:line="240" w:lineRule="exact"/>
      </w:pPr>
    </w:p>
    <w:tbl>
      <w:tblPr>
        <w:tblW w:w="0" w:type="auto"/>
        <w:tblInd w:w="20" w:type="dxa"/>
        <w:tblLayout w:type="fixed"/>
        <w:tblLook w:val="04A0" w:firstRow="1" w:lastRow="0" w:firstColumn="1" w:lastColumn="0" w:noHBand="0" w:noVBand="1"/>
      </w:tblPr>
      <w:tblGrid>
        <w:gridCol w:w="9620"/>
      </w:tblGrid>
      <w:tr w:rsidR="00F77556">
        <w:tc>
          <w:tcPr>
            <w:tcW w:w="9620" w:type="dxa"/>
            <w:shd w:val="clear" w:color="666553" w:fill="666553"/>
            <w:tcMar>
              <w:top w:w="40" w:type="dxa"/>
              <w:left w:w="0" w:type="dxa"/>
              <w:bottom w:w="0" w:type="dxa"/>
              <w:right w:w="0" w:type="dxa"/>
            </w:tcMar>
            <w:vAlign w:val="center"/>
          </w:tcPr>
          <w:p w:rsidR="00F77556" w:rsidRDefault="009F589B">
            <w:pPr>
              <w:jc w:val="center"/>
              <w:rPr>
                <w:rFonts w:ascii="Arial" w:eastAsia="Arial" w:hAnsi="Arial" w:cs="Arial"/>
                <w:b/>
                <w:color w:val="FFFFFF"/>
                <w:sz w:val="28"/>
                <w:lang w:val="fr-FR"/>
              </w:rPr>
            </w:pPr>
            <w:r>
              <w:rPr>
                <w:rFonts w:ascii="Arial" w:eastAsia="Arial" w:hAnsi="Arial" w:cs="Arial"/>
                <w:b/>
                <w:noProof/>
                <w:color w:val="FFFFFF"/>
                <w:sz w:val="28"/>
                <w:lang w:val="fr-FR" w:eastAsia="fr-FR"/>
              </w:rPr>
              <w:drawing>
                <wp:inline distT="0" distB="0" distL="0" distR="0">
                  <wp:extent cx="771525" cy="79827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is_ilets_logo_De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101" cy="812317"/>
                          </a:xfrm>
                          <a:prstGeom prst="rect">
                            <a:avLst/>
                          </a:prstGeom>
                        </pic:spPr>
                      </pic:pic>
                    </a:graphicData>
                  </a:graphic>
                </wp:inline>
              </w:drawing>
            </w:r>
            <w:r>
              <w:rPr>
                <w:rFonts w:ascii="Arial" w:eastAsia="Arial" w:hAnsi="Arial" w:cs="Arial"/>
                <w:b/>
                <w:color w:val="FFFFFF"/>
                <w:sz w:val="28"/>
                <w:lang w:val="fr-FR"/>
              </w:rPr>
              <w:t xml:space="preserve">       </w:t>
            </w:r>
            <w:r>
              <w:rPr>
                <w:rFonts w:ascii="Arial" w:eastAsia="Arial" w:hAnsi="Arial" w:cs="Arial"/>
                <w:b/>
                <w:noProof/>
                <w:color w:val="FFFFFF"/>
                <w:sz w:val="28"/>
                <w:lang w:val="fr-FR" w:eastAsia="fr-FR"/>
              </w:rPr>
              <w:drawing>
                <wp:inline distT="0" distB="0" distL="0" distR="0">
                  <wp:extent cx="906109" cy="799955"/>
                  <wp:effectExtent l="0" t="0" r="889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E - MARTINIQUE.jpg"/>
                          <pic:cNvPicPr/>
                        </pic:nvPicPr>
                        <pic:blipFill>
                          <a:blip r:embed="rId8">
                            <a:extLst>
                              <a:ext uri="{28A0092B-C50C-407E-A947-70E740481C1C}">
                                <a14:useLocalDpi xmlns:a14="http://schemas.microsoft.com/office/drawing/2010/main" val="0"/>
                              </a:ext>
                            </a:extLst>
                          </a:blip>
                          <a:stretch>
                            <a:fillRect/>
                          </a:stretch>
                        </pic:blipFill>
                        <pic:spPr>
                          <a:xfrm>
                            <a:off x="0" y="0"/>
                            <a:ext cx="1002056" cy="884662"/>
                          </a:xfrm>
                          <a:prstGeom prst="rect">
                            <a:avLst/>
                          </a:prstGeom>
                        </pic:spPr>
                      </pic:pic>
                    </a:graphicData>
                  </a:graphic>
                </wp:inline>
              </w:drawing>
            </w:r>
            <w:r>
              <w:rPr>
                <w:rFonts w:ascii="Arial" w:eastAsia="Arial" w:hAnsi="Arial" w:cs="Arial"/>
                <w:b/>
                <w:color w:val="FFFFFF"/>
                <w:sz w:val="28"/>
                <w:lang w:val="fr-FR"/>
              </w:rPr>
              <w:t xml:space="preserve">           </w:t>
            </w:r>
            <w:r w:rsidR="0022344C">
              <w:rPr>
                <w:rFonts w:ascii="Arial" w:eastAsia="Arial" w:hAnsi="Arial" w:cs="Arial"/>
                <w:b/>
                <w:color w:val="FFFFFF"/>
                <w:sz w:val="28"/>
                <w:lang w:val="fr-FR"/>
              </w:rPr>
              <w:t>RÈGLEMENT DE LA CONSULTATION</w:t>
            </w:r>
          </w:p>
        </w:tc>
      </w:tr>
    </w:tbl>
    <w:p w:rsidR="00F77556" w:rsidRDefault="0022344C">
      <w:pPr>
        <w:spacing w:line="240" w:lineRule="exact"/>
      </w:pPr>
      <w:r>
        <w:t xml:space="preserve"> </w:t>
      </w:r>
    </w:p>
    <w:p w:rsidR="00F77556" w:rsidRDefault="00A564A1" w:rsidP="00A564A1">
      <w:pPr>
        <w:tabs>
          <w:tab w:val="left" w:pos="1140"/>
        </w:tabs>
        <w:spacing w:after="220" w:line="240" w:lineRule="exact"/>
      </w:pPr>
      <w:r>
        <w:tab/>
      </w:r>
    </w:p>
    <w:p w:rsidR="00F77556" w:rsidRDefault="0022344C">
      <w:pPr>
        <w:spacing w:before="40"/>
        <w:ind w:left="20" w:right="20"/>
        <w:jc w:val="center"/>
        <w:rPr>
          <w:rFonts w:ascii="Arial" w:eastAsia="Arial" w:hAnsi="Arial" w:cs="Arial"/>
          <w:b/>
          <w:color w:val="000000"/>
          <w:sz w:val="28"/>
          <w:lang w:val="fr-FR"/>
        </w:rPr>
      </w:pPr>
      <w:r>
        <w:rPr>
          <w:rFonts w:ascii="Arial" w:eastAsia="Arial" w:hAnsi="Arial" w:cs="Arial"/>
          <w:b/>
          <w:color w:val="000000"/>
          <w:sz w:val="28"/>
          <w:lang w:val="fr-FR"/>
        </w:rPr>
        <w:t>ACCORD-CADRE D'ÉTUDES</w:t>
      </w:r>
    </w:p>
    <w:p w:rsidR="00F77556" w:rsidRDefault="00F77556">
      <w:pPr>
        <w:spacing w:line="240" w:lineRule="exact"/>
      </w:pPr>
    </w:p>
    <w:p w:rsidR="00F77556" w:rsidRDefault="00F77556">
      <w:pPr>
        <w:spacing w:line="240" w:lineRule="exact"/>
      </w:pPr>
    </w:p>
    <w:p w:rsidR="00F77556" w:rsidRDefault="00F77556">
      <w:pPr>
        <w:spacing w:line="240" w:lineRule="exact"/>
      </w:pPr>
    </w:p>
    <w:p w:rsidR="00F77556" w:rsidRDefault="00F77556">
      <w:pPr>
        <w:spacing w:line="240" w:lineRule="exact"/>
      </w:pPr>
    </w:p>
    <w:p w:rsidR="00F77556" w:rsidRDefault="00F77556">
      <w:pPr>
        <w:spacing w:after="180" w:line="240" w:lineRule="exact"/>
      </w:pPr>
    </w:p>
    <w:tbl>
      <w:tblPr>
        <w:tblW w:w="0" w:type="auto"/>
        <w:tblInd w:w="1280" w:type="dxa"/>
        <w:tblLayout w:type="fixed"/>
        <w:tblLook w:val="04A0" w:firstRow="1" w:lastRow="0" w:firstColumn="1" w:lastColumn="0" w:noHBand="0" w:noVBand="1"/>
      </w:tblPr>
      <w:tblGrid>
        <w:gridCol w:w="7100"/>
      </w:tblGrid>
      <w:tr w:rsidR="00F77556" w:rsidRPr="00F857EF">
        <w:tc>
          <w:tcPr>
            <w:tcW w:w="7100" w:type="dxa"/>
            <w:tcBorders>
              <w:top w:val="single" w:sz="4" w:space="0" w:color="000000"/>
              <w:bottom w:val="single" w:sz="4" w:space="0" w:color="000000"/>
            </w:tcBorders>
            <w:tcMar>
              <w:top w:w="400" w:type="dxa"/>
              <w:left w:w="0" w:type="dxa"/>
              <w:bottom w:w="400" w:type="dxa"/>
              <w:right w:w="0" w:type="dxa"/>
            </w:tcMar>
            <w:vAlign w:val="center"/>
          </w:tcPr>
          <w:p w:rsidR="00F77556" w:rsidRDefault="0022344C" w:rsidP="00D8037C">
            <w:pPr>
              <w:spacing w:line="322" w:lineRule="exact"/>
              <w:jc w:val="center"/>
              <w:rPr>
                <w:rFonts w:ascii="Arial" w:eastAsia="Arial" w:hAnsi="Arial" w:cs="Arial"/>
                <w:b/>
                <w:color w:val="000000"/>
                <w:sz w:val="28"/>
                <w:lang w:val="fr-FR"/>
              </w:rPr>
            </w:pPr>
            <w:r>
              <w:rPr>
                <w:rFonts w:ascii="Arial" w:eastAsia="Arial" w:hAnsi="Arial" w:cs="Arial"/>
                <w:b/>
                <w:color w:val="000000"/>
                <w:sz w:val="28"/>
                <w:lang w:val="fr-FR"/>
              </w:rPr>
              <w:t>ACCORD CADRE POUR LA REALISATION DE RECONNAISSANCES ET D'ETUDES GEOTECHNIQUES DANS LE CADRE D'AMENAGEMENTS TOURISTIQUES (EAT) DE</w:t>
            </w:r>
            <w:r w:rsidR="00D8037C">
              <w:rPr>
                <w:rFonts w:ascii="Arial" w:eastAsia="Arial" w:hAnsi="Arial" w:cs="Arial"/>
                <w:b/>
                <w:color w:val="000000"/>
                <w:sz w:val="28"/>
                <w:lang w:val="fr-FR"/>
              </w:rPr>
              <w:t xml:space="preserve"> LA COMMUNE DES TROIS-ILETS </w:t>
            </w:r>
          </w:p>
        </w:tc>
      </w:tr>
    </w:tbl>
    <w:p w:rsidR="00F77556" w:rsidRPr="00C56F72" w:rsidRDefault="0022344C">
      <w:pPr>
        <w:spacing w:line="240" w:lineRule="exact"/>
        <w:rPr>
          <w:lang w:val="fr-FR"/>
        </w:rPr>
      </w:pPr>
      <w:r w:rsidRPr="00C56F72">
        <w:rPr>
          <w:lang w:val="fr-FR"/>
        </w:rPr>
        <w:t xml:space="preserve"> </w:t>
      </w:r>
    </w:p>
    <w:p w:rsidR="00C56F72" w:rsidRPr="00250AC5" w:rsidRDefault="00C56F72" w:rsidP="00C56F72">
      <w:pPr>
        <w:spacing w:line="240" w:lineRule="exact"/>
        <w:rPr>
          <w:lang w:val="fr-FR"/>
        </w:rPr>
      </w:pPr>
    </w:p>
    <w:p w:rsidR="00C56F72" w:rsidRPr="00250AC5" w:rsidRDefault="00C56F72" w:rsidP="00C56F72">
      <w:pPr>
        <w:spacing w:line="240" w:lineRule="exact"/>
        <w:rPr>
          <w:lang w:val="fr-FR"/>
        </w:rPr>
      </w:pPr>
    </w:p>
    <w:p w:rsidR="00C56F72" w:rsidRDefault="00D8037C" w:rsidP="00C56F72">
      <w:pPr>
        <w:spacing w:line="276" w:lineRule="exact"/>
        <w:ind w:left="20" w:right="20"/>
        <w:jc w:val="center"/>
        <w:rPr>
          <w:rFonts w:ascii="Arial" w:eastAsia="Arial" w:hAnsi="Arial" w:cs="Arial"/>
          <w:color w:val="000000"/>
          <w:lang w:val="fr-FR"/>
        </w:rPr>
      </w:pPr>
      <w:r>
        <w:rPr>
          <w:rFonts w:ascii="Arial" w:eastAsia="Arial" w:hAnsi="Arial" w:cs="Arial"/>
          <w:b/>
          <w:color w:val="000000"/>
          <w:lang w:val="fr-FR"/>
        </w:rPr>
        <w:t>Commune des Trois-Ilets</w:t>
      </w:r>
    </w:p>
    <w:p w:rsidR="00C56F72" w:rsidRDefault="00D8037C" w:rsidP="00C56F72">
      <w:pPr>
        <w:spacing w:line="276" w:lineRule="exact"/>
        <w:ind w:left="20" w:right="20"/>
        <w:jc w:val="center"/>
        <w:rPr>
          <w:rFonts w:ascii="Arial" w:eastAsia="Arial" w:hAnsi="Arial" w:cs="Arial"/>
          <w:color w:val="000000"/>
          <w:lang w:val="fr-FR"/>
        </w:rPr>
      </w:pPr>
      <w:r>
        <w:rPr>
          <w:rFonts w:ascii="Arial" w:eastAsia="Arial" w:hAnsi="Arial" w:cs="Arial"/>
          <w:color w:val="000000"/>
          <w:lang w:val="fr-FR"/>
        </w:rPr>
        <w:t xml:space="preserve">1 Rue Epiphane de MOIRANS </w:t>
      </w:r>
    </w:p>
    <w:p w:rsidR="00C56F72" w:rsidRDefault="00D8037C" w:rsidP="00C56F72">
      <w:pPr>
        <w:spacing w:line="276" w:lineRule="exact"/>
        <w:ind w:left="20" w:right="20"/>
        <w:jc w:val="center"/>
        <w:rPr>
          <w:rFonts w:ascii="Arial" w:eastAsia="Arial" w:hAnsi="Arial" w:cs="Arial"/>
          <w:color w:val="000000"/>
          <w:lang w:val="fr-FR"/>
        </w:rPr>
      </w:pPr>
      <w:r>
        <w:rPr>
          <w:rFonts w:ascii="Arial" w:eastAsia="Arial" w:hAnsi="Arial" w:cs="Arial"/>
          <w:color w:val="000000"/>
          <w:lang w:val="fr-FR"/>
        </w:rPr>
        <w:t xml:space="preserve">97229 TROIS-ILETS </w:t>
      </w:r>
    </w:p>
    <w:p w:rsidR="00C56F72" w:rsidRDefault="00C56F72" w:rsidP="00C56F72">
      <w:pPr>
        <w:spacing w:line="276" w:lineRule="exact"/>
        <w:ind w:left="20" w:right="20"/>
        <w:jc w:val="center"/>
        <w:rPr>
          <w:rFonts w:ascii="Arial" w:eastAsia="Arial" w:hAnsi="Arial" w:cs="Arial"/>
          <w:color w:val="000000"/>
          <w:lang w:val="fr-FR"/>
        </w:rPr>
      </w:pPr>
    </w:p>
    <w:p w:rsidR="00C56F72" w:rsidRDefault="00C56F72" w:rsidP="00C56F72">
      <w:pPr>
        <w:spacing w:line="276" w:lineRule="exact"/>
        <w:ind w:left="20" w:right="20"/>
        <w:jc w:val="center"/>
        <w:rPr>
          <w:rFonts w:ascii="Arial" w:eastAsia="Arial" w:hAnsi="Arial" w:cs="Arial"/>
          <w:color w:val="000000"/>
          <w:lang w:val="fr-FR"/>
        </w:rPr>
      </w:pPr>
    </w:p>
    <w:p w:rsidR="00C56F72" w:rsidRPr="00D8037C" w:rsidRDefault="00C56F72" w:rsidP="00C56F72">
      <w:pPr>
        <w:spacing w:line="276" w:lineRule="exact"/>
        <w:ind w:left="20" w:right="20"/>
        <w:jc w:val="center"/>
        <w:rPr>
          <w:rFonts w:ascii="Arial" w:eastAsia="Arial" w:hAnsi="Arial" w:cs="Arial"/>
          <w:b/>
          <w:lang w:val="fr-FR"/>
        </w:rPr>
      </w:pPr>
      <w:r w:rsidRPr="00D8037C">
        <w:rPr>
          <w:rFonts w:ascii="Arial" w:eastAsia="Arial" w:hAnsi="Arial" w:cs="Arial"/>
          <w:b/>
          <w:lang w:val="fr-FR"/>
        </w:rPr>
        <w:t>ATTENTION :</w:t>
      </w:r>
    </w:p>
    <w:p w:rsidR="00C56F72" w:rsidRPr="00D8037C" w:rsidRDefault="00C56F72" w:rsidP="00C56F72">
      <w:pPr>
        <w:spacing w:line="276" w:lineRule="exact"/>
        <w:ind w:left="20" w:right="20"/>
        <w:jc w:val="center"/>
        <w:rPr>
          <w:rFonts w:ascii="Arial" w:eastAsia="Arial" w:hAnsi="Arial" w:cs="Arial"/>
          <w:b/>
          <w:lang w:val="fr-FR"/>
        </w:rPr>
      </w:pPr>
    </w:p>
    <w:p w:rsidR="00C56F72" w:rsidRPr="00D8037C" w:rsidRDefault="00C56F72" w:rsidP="00C56F72">
      <w:pPr>
        <w:spacing w:line="276" w:lineRule="exact"/>
        <w:ind w:left="20" w:right="20"/>
        <w:jc w:val="center"/>
        <w:rPr>
          <w:rFonts w:ascii="Arial" w:eastAsia="Arial" w:hAnsi="Arial" w:cs="Arial"/>
          <w:b/>
          <w:lang w:val="fr-FR"/>
        </w:rPr>
      </w:pPr>
    </w:p>
    <w:p w:rsidR="00C56F72" w:rsidRPr="00D8037C" w:rsidRDefault="00C56F72" w:rsidP="00C56F72">
      <w:pPr>
        <w:spacing w:line="276" w:lineRule="exact"/>
        <w:ind w:left="20" w:right="20"/>
        <w:jc w:val="center"/>
        <w:rPr>
          <w:rFonts w:ascii="Arial" w:eastAsia="Arial" w:hAnsi="Arial" w:cs="Arial"/>
          <w:b/>
          <w:lang w:val="fr-FR"/>
        </w:rPr>
      </w:pPr>
      <w:r w:rsidRPr="00D8037C">
        <w:rPr>
          <w:rFonts w:ascii="Arial" w:eastAsia="Arial" w:hAnsi="Arial" w:cs="Arial"/>
          <w:b/>
          <w:lang w:val="fr-FR"/>
        </w:rPr>
        <w:t>TOUTE REPONSE ETABLIE DANS LE CADRE DE CETTE</w:t>
      </w:r>
    </w:p>
    <w:p w:rsidR="00C56F72" w:rsidRPr="00D8037C" w:rsidRDefault="00C56F72" w:rsidP="00C56F72">
      <w:pPr>
        <w:spacing w:line="276" w:lineRule="exact"/>
        <w:ind w:left="20" w:right="20"/>
        <w:jc w:val="center"/>
        <w:rPr>
          <w:rFonts w:ascii="Arial" w:eastAsia="Arial" w:hAnsi="Arial" w:cs="Arial"/>
          <w:b/>
          <w:lang w:val="fr-FR"/>
        </w:rPr>
      </w:pPr>
      <w:r w:rsidRPr="00D8037C">
        <w:rPr>
          <w:rFonts w:ascii="Arial" w:eastAsia="Arial" w:hAnsi="Arial" w:cs="Arial"/>
          <w:b/>
          <w:lang w:val="fr-FR"/>
        </w:rPr>
        <w:t>CONSULTATION DOIT ETRE OBLIGATOIREMENT DEMATERIALISEE</w:t>
      </w:r>
    </w:p>
    <w:p w:rsidR="00C56F72" w:rsidRPr="00D8037C" w:rsidRDefault="00C56F72" w:rsidP="00C56F72">
      <w:pPr>
        <w:spacing w:line="276" w:lineRule="exact"/>
        <w:ind w:left="20" w:right="20"/>
        <w:jc w:val="center"/>
        <w:rPr>
          <w:rFonts w:ascii="Arial" w:eastAsia="Arial" w:hAnsi="Arial" w:cs="Arial"/>
          <w:b/>
          <w:lang w:val="fr-FR"/>
        </w:rPr>
      </w:pPr>
    </w:p>
    <w:p w:rsidR="00C56F72" w:rsidRPr="00D8037C" w:rsidRDefault="00C56F72" w:rsidP="00C56F72">
      <w:pPr>
        <w:spacing w:line="276" w:lineRule="exact"/>
        <w:ind w:left="20" w:right="20"/>
        <w:jc w:val="center"/>
        <w:rPr>
          <w:rFonts w:ascii="Arial" w:eastAsia="Arial" w:hAnsi="Arial" w:cs="Arial"/>
          <w:b/>
          <w:lang w:val="fr-FR"/>
        </w:rPr>
      </w:pPr>
    </w:p>
    <w:p w:rsidR="00F77556" w:rsidRPr="00D8037C" w:rsidRDefault="00C56F72" w:rsidP="00C56F72">
      <w:pPr>
        <w:spacing w:line="276" w:lineRule="exact"/>
        <w:ind w:left="20" w:right="20"/>
        <w:jc w:val="center"/>
        <w:rPr>
          <w:rFonts w:ascii="Arial" w:eastAsia="Arial" w:hAnsi="Arial" w:cs="Arial"/>
          <w:b/>
          <w:lang w:val="fr-FR"/>
        </w:rPr>
      </w:pPr>
      <w:r w:rsidRPr="00D8037C">
        <w:rPr>
          <w:rFonts w:ascii="Arial" w:eastAsia="Arial" w:hAnsi="Arial" w:cs="Arial"/>
          <w:b/>
          <w:lang w:val="fr-FR"/>
        </w:rPr>
        <w:t>VOUS ETES INVITE A CONSULTER A CE TITRE LE PREAMBULE</w:t>
      </w:r>
    </w:p>
    <w:p w:rsidR="00C56F72" w:rsidRPr="00D8037C" w:rsidRDefault="00C56F72" w:rsidP="00C56F72">
      <w:pPr>
        <w:spacing w:line="276" w:lineRule="exact"/>
        <w:ind w:left="20" w:right="20"/>
        <w:jc w:val="center"/>
        <w:rPr>
          <w:rFonts w:ascii="Arial" w:eastAsia="Arial" w:hAnsi="Arial" w:cs="Arial"/>
          <w:b/>
          <w:lang w:val="fr-FR"/>
        </w:rPr>
      </w:pPr>
      <w:r w:rsidRPr="00D8037C">
        <w:rPr>
          <w:rFonts w:ascii="Arial" w:eastAsia="Arial" w:hAnsi="Arial" w:cs="Arial"/>
          <w:b/>
          <w:lang w:val="fr-FR"/>
        </w:rPr>
        <w:t>FIGURANT A LA PAGE SUIVANTE</w:t>
      </w:r>
    </w:p>
    <w:p w:rsidR="00C56F72" w:rsidRPr="00D8037C" w:rsidRDefault="00C56F72" w:rsidP="00C56F72">
      <w:pPr>
        <w:spacing w:line="276" w:lineRule="exact"/>
        <w:ind w:left="20" w:right="20"/>
        <w:jc w:val="center"/>
        <w:rPr>
          <w:rFonts w:ascii="Arial" w:eastAsia="Arial" w:hAnsi="Arial" w:cs="Arial"/>
          <w:b/>
          <w:lang w:val="fr-FR"/>
        </w:rPr>
      </w:pPr>
      <w:r w:rsidRPr="00D8037C">
        <w:rPr>
          <w:rFonts w:ascii="Arial" w:eastAsia="Arial" w:hAnsi="Arial" w:cs="Arial"/>
          <w:b/>
          <w:lang w:val="fr-FR"/>
        </w:rPr>
        <w:t>PREAMBULE A LA REMISE DES OFFRES</w:t>
      </w:r>
    </w:p>
    <w:p w:rsidR="00C56F72" w:rsidRPr="00D8037C" w:rsidRDefault="00C56F72" w:rsidP="00C56F72">
      <w:pPr>
        <w:spacing w:line="276" w:lineRule="exact"/>
        <w:ind w:left="20" w:right="20"/>
        <w:jc w:val="center"/>
        <w:rPr>
          <w:rFonts w:ascii="Arial" w:eastAsia="Arial" w:hAnsi="Arial" w:cs="Arial"/>
          <w:b/>
          <w:lang w:val="fr-FR"/>
        </w:rPr>
      </w:pPr>
    </w:p>
    <w:p w:rsidR="00C56F72" w:rsidRPr="00D8037C" w:rsidRDefault="00C56F72" w:rsidP="00C56F72">
      <w:pPr>
        <w:spacing w:line="276" w:lineRule="exact"/>
        <w:ind w:left="20" w:right="20"/>
        <w:jc w:val="center"/>
        <w:rPr>
          <w:rFonts w:ascii="Arial" w:eastAsia="Arial" w:hAnsi="Arial" w:cs="Arial"/>
          <w:b/>
          <w:lang w:val="fr-FR"/>
        </w:rPr>
      </w:pPr>
    </w:p>
    <w:p w:rsidR="00C56F72" w:rsidRPr="00D8037C" w:rsidRDefault="00C56F72" w:rsidP="00C56F72">
      <w:pPr>
        <w:spacing w:line="276" w:lineRule="exact"/>
        <w:ind w:left="20" w:right="20"/>
        <w:jc w:val="both"/>
        <w:rPr>
          <w:rFonts w:ascii="Arial" w:eastAsia="Arial" w:hAnsi="Arial" w:cs="Arial"/>
          <w:b/>
          <w:lang w:val="fr-FR"/>
        </w:rPr>
      </w:pPr>
      <w:r w:rsidRPr="00D8037C">
        <w:rPr>
          <w:rFonts w:ascii="Arial" w:eastAsia="Arial" w:hAnsi="Arial" w:cs="Arial"/>
          <w:b/>
          <w:lang w:val="fr-FR"/>
        </w:rPr>
        <w:t>L’article 41 du décret n°2016-360 du 25 mars 2016, prévoit une complète dématérialisation des procédures de marchés publics, à compter du 1</w:t>
      </w:r>
      <w:r w:rsidRPr="00D8037C">
        <w:rPr>
          <w:rFonts w:ascii="Arial" w:eastAsia="Arial" w:hAnsi="Arial" w:cs="Arial"/>
          <w:b/>
          <w:vertAlign w:val="superscript"/>
          <w:lang w:val="fr-FR"/>
        </w:rPr>
        <w:t>er</w:t>
      </w:r>
      <w:r w:rsidRPr="00D8037C">
        <w:rPr>
          <w:rFonts w:ascii="Arial" w:eastAsia="Arial" w:hAnsi="Arial" w:cs="Arial"/>
          <w:b/>
          <w:lang w:val="fr-FR"/>
        </w:rPr>
        <w:t xml:space="preserve"> octobre 2018.</w:t>
      </w:r>
    </w:p>
    <w:p w:rsidR="00C56F72" w:rsidRPr="00D8037C" w:rsidRDefault="00C56F72" w:rsidP="00C56F72">
      <w:pPr>
        <w:spacing w:line="276" w:lineRule="exact"/>
        <w:ind w:left="20" w:right="20"/>
        <w:jc w:val="both"/>
        <w:rPr>
          <w:rFonts w:ascii="Arial" w:eastAsia="Arial" w:hAnsi="Arial" w:cs="Arial"/>
          <w:b/>
          <w:lang w:val="fr-FR"/>
        </w:rPr>
      </w:pPr>
    </w:p>
    <w:p w:rsidR="00C56F72" w:rsidRPr="00D8037C" w:rsidRDefault="00C56F72" w:rsidP="00C56F72">
      <w:pPr>
        <w:spacing w:line="276" w:lineRule="exact"/>
        <w:ind w:left="20" w:right="20"/>
        <w:jc w:val="both"/>
        <w:rPr>
          <w:rFonts w:ascii="Arial" w:eastAsia="Arial" w:hAnsi="Arial" w:cs="Arial"/>
          <w:b/>
          <w:lang w:val="fr-FR"/>
        </w:rPr>
      </w:pPr>
    </w:p>
    <w:p w:rsidR="00C56F72" w:rsidRPr="00D8037C" w:rsidRDefault="00C56F72" w:rsidP="00C56F72">
      <w:pPr>
        <w:spacing w:line="276" w:lineRule="exact"/>
        <w:ind w:left="20" w:right="20"/>
        <w:jc w:val="both"/>
        <w:rPr>
          <w:rFonts w:ascii="Arial" w:eastAsia="Arial" w:hAnsi="Arial" w:cs="Arial"/>
          <w:b/>
          <w:lang w:val="fr-FR"/>
        </w:rPr>
      </w:pPr>
      <w:r w:rsidRPr="00D8037C">
        <w:rPr>
          <w:rFonts w:ascii="Arial" w:eastAsia="Arial" w:hAnsi="Arial" w:cs="Arial"/>
          <w:b/>
          <w:lang w:val="fr-FR"/>
        </w:rPr>
        <w:t>Pour éviter le rejet de votre dossier, nous attirons votre attention sur ce qui suit :</w:t>
      </w:r>
    </w:p>
    <w:p w:rsidR="00C56F72" w:rsidRPr="00D8037C" w:rsidRDefault="00C56F72" w:rsidP="00C56F72">
      <w:pPr>
        <w:spacing w:line="276" w:lineRule="exact"/>
        <w:ind w:left="20" w:right="20"/>
        <w:jc w:val="both"/>
        <w:rPr>
          <w:rFonts w:ascii="Arial" w:eastAsia="Arial" w:hAnsi="Arial" w:cs="Arial"/>
          <w:b/>
          <w:lang w:val="fr-FR"/>
        </w:rPr>
      </w:pPr>
    </w:p>
    <w:p w:rsidR="00C56F72" w:rsidRDefault="00C56F72" w:rsidP="00C56F72">
      <w:pPr>
        <w:pStyle w:val="Paragraphedeliste"/>
        <w:numPr>
          <w:ilvl w:val="0"/>
          <w:numId w:val="1"/>
        </w:numPr>
        <w:spacing w:line="276" w:lineRule="exact"/>
        <w:ind w:right="20"/>
        <w:jc w:val="both"/>
        <w:rPr>
          <w:rFonts w:ascii="Arial" w:eastAsia="Arial" w:hAnsi="Arial" w:cs="Arial"/>
          <w:b/>
          <w:u w:val="single"/>
          <w:lang w:val="fr-FR"/>
        </w:rPr>
      </w:pPr>
      <w:r w:rsidRPr="00D8037C">
        <w:rPr>
          <w:rFonts w:ascii="Arial" w:eastAsia="Arial" w:hAnsi="Arial" w:cs="Arial"/>
          <w:b/>
          <w:lang w:val="fr-FR"/>
        </w:rPr>
        <w:lastRenderedPageBreak/>
        <w:t>Les pièces de la candidature et de l’offre seront transmises obligatoirement par voie électronique via l</w:t>
      </w:r>
      <w:r w:rsidR="00D8037C">
        <w:rPr>
          <w:rFonts w:ascii="Arial" w:eastAsia="Arial" w:hAnsi="Arial" w:cs="Arial"/>
          <w:b/>
          <w:lang w:val="fr-FR"/>
        </w:rPr>
        <w:t xml:space="preserve">e profil acheteur de la commune des TROIS-ILETS  </w:t>
      </w:r>
      <w:hyperlink r:id="rId9" w:history="1">
        <w:r w:rsidR="00D8037C" w:rsidRPr="00FC072F">
          <w:rPr>
            <w:rStyle w:val="Lienhypertexte"/>
            <w:rFonts w:ascii="Arial" w:eastAsia="Arial" w:hAnsi="Arial" w:cs="Arial"/>
            <w:b/>
            <w:lang w:val="fr-FR"/>
          </w:rPr>
          <w:t>https://www.marches-securises.fr</w:t>
        </w:r>
      </w:hyperlink>
    </w:p>
    <w:p w:rsidR="00D8037C" w:rsidRPr="00D8037C" w:rsidRDefault="00D8037C" w:rsidP="00C56F72">
      <w:pPr>
        <w:pStyle w:val="Paragraphedeliste"/>
        <w:numPr>
          <w:ilvl w:val="0"/>
          <w:numId w:val="1"/>
        </w:numPr>
        <w:spacing w:line="276" w:lineRule="exact"/>
        <w:ind w:right="20"/>
        <w:jc w:val="both"/>
        <w:rPr>
          <w:rFonts w:ascii="Arial" w:eastAsia="Arial" w:hAnsi="Arial" w:cs="Arial"/>
          <w:b/>
          <w:u w:val="single"/>
          <w:lang w:val="fr-FR"/>
        </w:rPr>
      </w:pPr>
    </w:p>
    <w:p w:rsidR="00C56F72" w:rsidRPr="00D8037C" w:rsidRDefault="00C56F72" w:rsidP="00C56F72">
      <w:pPr>
        <w:spacing w:line="276" w:lineRule="exact"/>
        <w:ind w:right="20"/>
        <w:jc w:val="both"/>
        <w:rPr>
          <w:rFonts w:ascii="Arial" w:eastAsia="Arial" w:hAnsi="Arial" w:cs="Arial"/>
          <w:b/>
          <w:u w:val="single"/>
          <w:lang w:val="fr-FR"/>
        </w:rPr>
      </w:pPr>
    </w:p>
    <w:p w:rsidR="00C56F72" w:rsidRPr="00D8037C" w:rsidRDefault="00C56F72" w:rsidP="00C56F72">
      <w:pPr>
        <w:pStyle w:val="Paragraphedeliste"/>
        <w:numPr>
          <w:ilvl w:val="0"/>
          <w:numId w:val="1"/>
        </w:numPr>
        <w:spacing w:line="276" w:lineRule="exact"/>
        <w:ind w:right="20"/>
        <w:jc w:val="both"/>
        <w:rPr>
          <w:rFonts w:ascii="Arial" w:eastAsia="Arial" w:hAnsi="Arial" w:cs="Arial"/>
          <w:b/>
          <w:lang w:val="fr-FR"/>
        </w:rPr>
      </w:pPr>
      <w:r w:rsidRPr="00D8037C">
        <w:rPr>
          <w:rFonts w:ascii="Arial" w:eastAsia="Arial" w:hAnsi="Arial" w:cs="Arial"/>
          <w:b/>
          <w:lang w:val="fr-FR"/>
        </w:rPr>
        <w:t>La possibilité est laissée aux candidats d’adresser parallèlement une copie de sauvegarde des pièces transmises (candidature et offre) à l’adresse postale indiquée dans le présent document sous forme de supports physiques électroniques (clé USB ou autre) ou support papier dans les délais impartis.</w:t>
      </w:r>
    </w:p>
    <w:p w:rsidR="00C56F72" w:rsidRPr="00D8037C" w:rsidRDefault="00C56F72" w:rsidP="00C56F72">
      <w:pPr>
        <w:spacing w:line="276" w:lineRule="exact"/>
        <w:ind w:right="20"/>
        <w:jc w:val="both"/>
        <w:rPr>
          <w:rFonts w:ascii="Arial" w:eastAsia="Arial" w:hAnsi="Arial" w:cs="Arial"/>
          <w:b/>
          <w:lang w:val="fr-FR"/>
        </w:rPr>
      </w:pPr>
    </w:p>
    <w:p w:rsidR="00C56F72" w:rsidRPr="00D8037C" w:rsidRDefault="00C56F72" w:rsidP="00C56F72">
      <w:pPr>
        <w:spacing w:line="276" w:lineRule="exact"/>
        <w:ind w:right="20"/>
        <w:jc w:val="both"/>
        <w:rPr>
          <w:rFonts w:ascii="Arial" w:eastAsia="Arial" w:hAnsi="Arial" w:cs="Arial"/>
          <w:b/>
          <w:lang w:val="fr-FR"/>
        </w:rPr>
      </w:pPr>
    </w:p>
    <w:p w:rsidR="00C56F72" w:rsidRPr="00D8037C" w:rsidRDefault="00C56F72" w:rsidP="00C56F72">
      <w:pPr>
        <w:pStyle w:val="Paragraphedeliste"/>
        <w:numPr>
          <w:ilvl w:val="0"/>
          <w:numId w:val="1"/>
        </w:numPr>
        <w:spacing w:line="276" w:lineRule="exact"/>
        <w:ind w:right="20"/>
        <w:jc w:val="both"/>
        <w:rPr>
          <w:rFonts w:ascii="Arial" w:eastAsia="Arial" w:hAnsi="Arial" w:cs="Arial"/>
          <w:b/>
          <w:lang w:val="fr-FR"/>
        </w:rPr>
      </w:pPr>
      <w:r w:rsidRPr="00D8037C">
        <w:rPr>
          <w:rFonts w:ascii="Arial" w:eastAsia="Arial" w:hAnsi="Arial" w:cs="Arial"/>
          <w:b/>
          <w:lang w:val="fr-FR"/>
        </w:rPr>
        <w:t>La signature électronique de l’offre (acte d’engagement) reste facultative.</w:t>
      </w:r>
    </w:p>
    <w:p w:rsidR="00C56F72" w:rsidRPr="00D8037C" w:rsidRDefault="00C56F72" w:rsidP="00C56F72">
      <w:pPr>
        <w:spacing w:line="276" w:lineRule="exact"/>
        <w:ind w:right="20"/>
        <w:jc w:val="both"/>
        <w:rPr>
          <w:rFonts w:ascii="Arial" w:eastAsia="Arial" w:hAnsi="Arial" w:cs="Arial"/>
          <w:b/>
          <w:lang w:val="fr-FR"/>
        </w:rPr>
      </w:pPr>
    </w:p>
    <w:p w:rsidR="00C56F72" w:rsidRPr="00D8037C" w:rsidRDefault="00C56F72" w:rsidP="00C56F72">
      <w:pPr>
        <w:spacing w:line="276" w:lineRule="exact"/>
        <w:ind w:right="20"/>
        <w:jc w:val="both"/>
        <w:rPr>
          <w:rFonts w:ascii="Arial" w:eastAsia="Arial" w:hAnsi="Arial" w:cs="Arial"/>
          <w:b/>
          <w:lang w:val="fr-FR"/>
        </w:rPr>
      </w:pPr>
    </w:p>
    <w:p w:rsidR="00C56F72" w:rsidRPr="00D8037C" w:rsidRDefault="00C56F72" w:rsidP="00C56F72">
      <w:pPr>
        <w:pStyle w:val="Paragraphedeliste"/>
        <w:numPr>
          <w:ilvl w:val="0"/>
          <w:numId w:val="1"/>
        </w:numPr>
        <w:spacing w:line="276" w:lineRule="exact"/>
        <w:ind w:right="20"/>
        <w:jc w:val="both"/>
        <w:rPr>
          <w:rFonts w:ascii="Arial" w:eastAsia="Arial" w:hAnsi="Arial" w:cs="Arial"/>
          <w:b/>
          <w:lang w:val="fr-FR"/>
        </w:rPr>
      </w:pPr>
      <w:r w:rsidRPr="00D8037C">
        <w:rPr>
          <w:rFonts w:ascii="Arial" w:eastAsia="Arial" w:hAnsi="Arial" w:cs="Arial"/>
          <w:b/>
          <w:lang w:val="fr-FR"/>
        </w:rPr>
        <w:t>L’ensemble des échanges s’effectuera sur le profil acheteur de la collectivité, à l’adresse électronique susmentionnée.</w:t>
      </w:r>
    </w:p>
    <w:p w:rsidR="00C56F72" w:rsidRPr="00D8037C" w:rsidRDefault="00C56F72" w:rsidP="00C56F72">
      <w:pPr>
        <w:spacing w:line="276" w:lineRule="exact"/>
        <w:ind w:right="20"/>
        <w:jc w:val="both"/>
        <w:rPr>
          <w:rFonts w:ascii="Arial" w:eastAsia="Arial" w:hAnsi="Arial" w:cs="Arial"/>
          <w:b/>
          <w:lang w:val="fr-FR"/>
        </w:rPr>
      </w:pPr>
    </w:p>
    <w:p w:rsidR="00C56F72" w:rsidRPr="00D8037C" w:rsidRDefault="00C56F72" w:rsidP="00C56F72">
      <w:pPr>
        <w:spacing w:line="276" w:lineRule="exact"/>
        <w:ind w:right="20"/>
        <w:jc w:val="both"/>
        <w:rPr>
          <w:rFonts w:ascii="Arial" w:eastAsia="Arial" w:hAnsi="Arial" w:cs="Arial"/>
          <w:b/>
          <w:lang w:val="fr-FR"/>
        </w:rPr>
      </w:pPr>
      <w:r w:rsidRPr="00D8037C">
        <w:rPr>
          <w:rFonts w:ascii="Arial" w:eastAsia="Arial" w:hAnsi="Arial" w:cs="Arial"/>
          <w:b/>
          <w:lang w:val="fr-FR"/>
        </w:rPr>
        <w:t>Nous vous invitons à consulter le Guide « très pratique » version 2 – 2018 de la dématérialisation des marchés publics à l’attention des Opérateurs Economiques ci-joint.</w:t>
      </w:r>
    </w:p>
    <w:p w:rsidR="00C56F72" w:rsidRPr="00D8037C" w:rsidRDefault="00C56F72" w:rsidP="00C56F72">
      <w:pPr>
        <w:spacing w:line="276" w:lineRule="exact"/>
        <w:ind w:right="20"/>
        <w:jc w:val="both"/>
        <w:rPr>
          <w:rFonts w:ascii="Arial" w:eastAsia="Arial" w:hAnsi="Arial" w:cs="Arial"/>
          <w:b/>
          <w:lang w:val="fr-FR"/>
        </w:rPr>
      </w:pPr>
    </w:p>
    <w:p w:rsidR="00C56F72" w:rsidRPr="00D8037C" w:rsidRDefault="00C56F72" w:rsidP="00C56F72">
      <w:pPr>
        <w:spacing w:line="276" w:lineRule="exact"/>
        <w:ind w:right="20"/>
        <w:jc w:val="both"/>
        <w:rPr>
          <w:rFonts w:ascii="Arial" w:eastAsia="Arial" w:hAnsi="Arial" w:cs="Arial"/>
          <w:b/>
          <w:lang w:val="fr-FR"/>
        </w:rPr>
      </w:pPr>
      <w:r w:rsidRPr="00D8037C">
        <w:rPr>
          <w:rFonts w:ascii="Arial" w:eastAsia="Arial" w:hAnsi="Arial" w:cs="Arial"/>
          <w:b/>
          <w:lang w:val="fr-FR"/>
        </w:rPr>
        <w:t>Ce document est disponible, dans une version éventuellement actualisée, à l’adresse suivante :</w:t>
      </w:r>
    </w:p>
    <w:p w:rsidR="00C56F72" w:rsidRDefault="00C56F72" w:rsidP="00C56F72">
      <w:pPr>
        <w:spacing w:line="276" w:lineRule="exact"/>
        <w:ind w:right="20"/>
        <w:jc w:val="both"/>
        <w:rPr>
          <w:rFonts w:ascii="Arial" w:eastAsia="Arial" w:hAnsi="Arial" w:cs="Arial"/>
          <w:b/>
          <w:color w:val="FF0000"/>
          <w:lang w:val="fr-FR"/>
        </w:rPr>
      </w:pPr>
    </w:p>
    <w:p w:rsidR="00C56F72" w:rsidRPr="00FC4C53" w:rsidRDefault="00C56F72" w:rsidP="00C56F72">
      <w:pPr>
        <w:spacing w:line="276" w:lineRule="exact"/>
        <w:ind w:right="20"/>
        <w:jc w:val="both"/>
        <w:rPr>
          <w:rFonts w:ascii="Arial" w:eastAsia="Arial" w:hAnsi="Arial" w:cs="Arial"/>
          <w:b/>
          <w:color w:val="17365D" w:themeColor="text2" w:themeShade="BF"/>
          <w:u w:val="single"/>
          <w:lang w:val="fr-FR"/>
        </w:rPr>
      </w:pPr>
      <w:r w:rsidRPr="00FC4C53">
        <w:rPr>
          <w:rFonts w:ascii="Arial" w:eastAsia="Arial" w:hAnsi="Arial" w:cs="Arial"/>
          <w:b/>
          <w:color w:val="17365D" w:themeColor="text2" w:themeShade="BF"/>
          <w:u w:val="single"/>
          <w:lang w:val="fr-FR"/>
        </w:rPr>
        <w:t>https://www.economie.gouv.fr/daj/dematerialisation-publication-version-2.juillet-2018-des-guide-tres-pratiques-pour-accompagner.</w:t>
      </w:r>
    </w:p>
    <w:p w:rsidR="00C56F72" w:rsidRDefault="00C56F72" w:rsidP="00C56F72">
      <w:pPr>
        <w:spacing w:line="276" w:lineRule="exact"/>
        <w:ind w:right="20"/>
        <w:jc w:val="both"/>
        <w:rPr>
          <w:rFonts w:ascii="Arial" w:eastAsia="Arial" w:hAnsi="Arial" w:cs="Arial"/>
          <w:b/>
          <w:color w:val="FF0000"/>
          <w:lang w:val="fr-FR"/>
        </w:rPr>
      </w:pPr>
    </w:p>
    <w:p w:rsidR="00C56F72" w:rsidRDefault="00C56F72" w:rsidP="00C56F72">
      <w:pPr>
        <w:spacing w:line="276" w:lineRule="exact"/>
        <w:ind w:left="20" w:right="20"/>
        <w:jc w:val="center"/>
        <w:rPr>
          <w:rFonts w:ascii="Arial" w:eastAsia="Arial" w:hAnsi="Arial" w:cs="Arial"/>
          <w:b/>
          <w:color w:val="FF0000"/>
          <w:lang w:val="fr-FR"/>
        </w:rPr>
      </w:pPr>
    </w:p>
    <w:p w:rsidR="00C56F72" w:rsidRDefault="00C56F72" w:rsidP="00C56F72">
      <w:pPr>
        <w:spacing w:line="276" w:lineRule="exact"/>
        <w:ind w:left="20" w:right="20"/>
        <w:jc w:val="center"/>
        <w:rPr>
          <w:rFonts w:ascii="Arial" w:eastAsia="Arial" w:hAnsi="Arial" w:cs="Arial"/>
          <w:color w:val="000000"/>
          <w:lang w:val="fr-FR"/>
        </w:rPr>
      </w:pPr>
    </w:p>
    <w:p w:rsidR="00C56F72" w:rsidRDefault="00C56F72" w:rsidP="00C56F72">
      <w:pPr>
        <w:spacing w:line="276" w:lineRule="exact"/>
        <w:ind w:left="20" w:right="20"/>
        <w:jc w:val="center"/>
        <w:rPr>
          <w:rFonts w:ascii="Arial" w:eastAsia="Arial" w:hAnsi="Arial" w:cs="Arial"/>
          <w:color w:val="000000"/>
          <w:lang w:val="fr-FR"/>
        </w:rPr>
        <w:sectPr w:rsidR="00C56F72">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1134" w:footer="1134" w:gutter="0"/>
          <w:cols w:space="708"/>
        </w:sectPr>
      </w:pPr>
    </w:p>
    <w:p w:rsidR="00F77556" w:rsidRPr="00C56F72" w:rsidRDefault="00F77556">
      <w:pPr>
        <w:spacing w:line="20" w:lineRule="exact"/>
        <w:rPr>
          <w:sz w:val="2"/>
          <w:lang w:val="fr-FR"/>
        </w:rPr>
      </w:pPr>
    </w:p>
    <w:p w:rsidR="00F77556" w:rsidRDefault="0022344C">
      <w:pPr>
        <w:spacing w:after="120"/>
        <w:ind w:left="20" w:right="20"/>
        <w:jc w:val="center"/>
        <w:rPr>
          <w:rFonts w:ascii="Arial" w:eastAsia="Arial" w:hAnsi="Arial" w:cs="Arial"/>
          <w:b/>
          <w:color w:val="000000"/>
          <w:lang w:val="fr-FR"/>
        </w:rPr>
      </w:pPr>
      <w:r>
        <w:rPr>
          <w:rFonts w:ascii="Arial" w:eastAsia="Arial" w:hAnsi="Arial" w:cs="Arial"/>
          <w:b/>
          <w:color w:val="000000"/>
          <w:lang w:val="fr-FR"/>
        </w:rPr>
        <w:t>SOMMAIRE</w:t>
      </w:r>
    </w:p>
    <w:p w:rsidR="00F77556" w:rsidRPr="00C56F72" w:rsidRDefault="00F77556">
      <w:pPr>
        <w:spacing w:after="80" w:line="240" w:lineRule="exact"/>
        <w:rPr>
          <w:lang w:val="fr-FR"/>
        </w:rPr>
      </w:pPr>
    </w:p>
    <w:p w:rsidR="00986043" w:rsidRDefault="0022344C">
      <w:pPr>
        <w:pStyle w:val="TM1"/>
        <w:tabs>
          <w:tab w:val="right" w:leader="dot" w:pos="9622"/>
        </w:tabs>
        <w:rPr>
          <w:rFonts w:asciiTheme="minorHAnsi" w:eastAsiaTheme="minorEastAsia" w:hAnsiTheme="minorHAnsi" w:cstheme="minorBidi"/>
          <w:noProof/>
          <w:sz w:val="22"/>
          <w:szCs w:val="22"/>
          <w:lang w:val="fr-FR" w:eastAsia="fr-FR"/>
        </w:rPr>
      </w:pPr>
      <w:r>
        <w:rPr>
          <w:rFonts w:ascii="Arial" w:eastAsia="Arial" w:hAnsi="Arial" w:cs="Arial"/>
          <w:color w:val="000000"/>
          <w:sz w:val="22"/>
          <w:lang w:val="fr-FR"/>
        </w:rPr>
        <w:fldChar w:fldCharType="begin"/>
      </w:r>
      <w:r>
        <w:rPr>
          <w:rFonts w:ascii="Arial" w:eastAsia="Arial" w:hAnsi="Arial" w:cs="Arial"/>
          <w:color w:val="000000"/>
          <w:sz w:val="22"/>
          <w:lang w:val="fr-FR"/>
        </w:rPr>
        <w:instrText xml:space="preserve"> TOC </w:instrText>
      </w:r>
      <w:r>
        <w:rPr>
          <w:rFonts w:ascii="Arial" w:eastAsia="Arial" w:hAnsi="Arial" w:cs="Arial"/>
          <w:color w:val="000000"/>
          <w:sz w:val="22"/>
          <w:lang w:val="fr-FR"/>
        </w:rPr>
        <w:fldChar w:fldCharType="separate"/>
      </w:r>
      <w:r w:rsidR="00986043" w:rsidRPr="002D267C">
        <w:rPr>
          <w:rFonts w:eastAsia="Arial"/>
          <w:noProof/>
          <w:color w:val="000000"/>
          <w:lang w:val="fr-FR"/>
        </w:rPr>
        <w:t>1 - Objet et étendue de la consultation</w:t>
      </w:r>
      <w:r w:rsidR="00986043" w:rsidRPr="00986043">
        <w:rPr>
          <w:noProof/>
          <w:lang w:val="fr-FR"/>
        </w:rPr>
        <w:tab/>
      </w:r>
      <w:r w:rsidR="00986043">
        <w:rPr>
          <w:noProof/>
        </w:rPr>
        <w:fldChar w:fldCharType="begin"/>
      </w:r>
      <w:r w:rsidR="00986043" w:rsidRPr="00986043">
        <w:rPr>
          <w:noProof/>
          <w:lang w:val="fr-FR"/>
        </w:rPr>
        <w:instrText xml:space="preserve"> PAGEREF _Toc56664156 \h </w:instrText>
      </w:r>
      <w:r w:rsidR="00986043">
        <w:rPr>
          <w:noProof/>
        </w:rPr>
      </w:r>
      <w:r w:rsidR="00986043">
        <w:rPr>
          <w:noProof/>
        </w:rPr>
        <w:fldChar w:fldCharType="separate"/>
      </w:r>
      <w:r w:rsidR="003579AE">
        <w:rPr>
          <w:noProof/>
          <w:lang w:val="fr-FR"/>
        </w:rPr>
        <w:t>4</w:t>
      </w:r>
      <w:r w:rsidR="00986043">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1.1 - Objet</w:t>
      </w:r>
      <w:r w:rsidRPr="00986043">
        <w:rPr>
          <w:noProof/>
          <w:lang w:val="fr-FR"/>
        </w:rPr>
        <w:tab/>
      </w:r>
      <w:r>
        <w:rPr>
          <w:noProof/>
        </w:rPr>
        <w:fldChar w:fldCharType="begin"/>
      </w:r>
      <w:r w:rsidRPr="00986043">
        <w:rPr>
          <w:noProof/>
          <w:lang w:val="fr-FR"/>
        </w:rPr>
        <w:instrText xml:space="preserve"> PAGEREF _Toc56664157 \h </w:instrText>
      </w:r>
      <w:r>
        <w:rPr>
          <w:noProof/>
        </w:rPr>
      </w:r>
      <w:r>
        <w:rPr>
          <w:noProof/>
        </w:rPr>
        <w:fldChar w:fldCharType="separate"/>
      </w:r>
      <w:r w:rsidR="003579AE">
        <w:rPr>
          <w:noProof/>
          <w:lang w:val="fr-FR"/>
        </w:rPr>
        <w:t>4</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1.2 - Mode de passation</w:t>
      </w:r>
      <w:r w:rsidRPr="00986043">
        <w:rPr>
          <w:noProof/>
          <w:lang w:val="fr-FR"/>
        </w:rPr>
        <w:tab/>
      </w:r>
      <w:r>
        <w:rPr>
          <w:noProof/>
        </w:rPr>
        <w:fldChar w:fldCharType="begin"/>
      </w:r>
      <w:r w:rsidRPr="00986043">
        <w:rPr>
          <w:noProof/>
          <w:lang w:val="fr-FR"/>
        </w:rPr>
        <w:instrText xml:space="preserve"> PAGEREF _Toc56664158 \h </w:instrText>
      </w:r>
      <w:r>
        <w:rPr>
          <w:noProof/>
        </w:rPr>
      </w:r>
      <w:r>
        <w:rPr>
          <w:noProof/>
        </w:rPr>
        <w:fldChar w:fldCharType="separate"/>
      </w:r>
      <w:r w:rsidR="003579AE">
        <w:rPr>
          <w:noProof/>
          <w:lang w:val="fr-FR"/>
        </w:rPr>
        <w:t>4</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1.3 - Type de contrat</w:t>
      </w:r>
      <w:r w:rsidRPr="00986043">
        <w:rPr>
          <w:noProof/>
          <w:lang w:val="fr-FR"/>
        </w:rPr>
        <w:tab/>
      </w:r>
      <w:r>
        <w:rPr>
          <w:noProof/>
        </w:rPr>
        <w:fldChar w:fldCharType="begin"/>
      </w:r>
      <w:r w:rsidRPr="00986043">
        <w:rPr>
          <w:noProof/>
          <w:lang w:val="fr-FR"/>
        </w:rPr>
        <w:instrText xml:space="preserve"> PAGEREF _Toc56664159 \h </w:instrText>
      </w:r>
      <w:r>
        <w:rPr>
          <w:noProof/>
        </w:rPr>
      </w:r>
      <w:r>
        <w:rPr>
          <w:noProof/>
        </w:rPr>
        <w:fldChar w:fldCharType="separate"/>
      </w:r>
      <w:r w:rsidR="003579AE">
        <w:rPr>
          <w:noProof/>
          <w:lang w:val="fr-FR"/>
        </w:rPr>
        <w:t>4</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1.4 - Décomposition de la consultation</w:t>
      </w:r>
      <w:r w:rsidRPr="00986043">
        <w:rPr>
          <w:noProof/>
          <w:lang w:val="fr-FR"/>
        </w:rPr>
        <w:tab/>
      </w:r>
      <w:r>
        <w:rPr>
          <w:noProof/>
        </w:rPr>
        <w:fldChar w:fldCharType="begin"/>
      </w:r>
      <w:r w:rsidRPr="00986043">
        <w:rPr>
          <w:noProof/>
          <w:lang w:val="fr-FR"/>
        </w:rPr>
        <w:instrText xml:space="preserve"> PAGEREF _Toc56664160 \h </w:instrText>
      </w:r>
      <w:r>
        <w:rPr>
          <w:noProof/>
        </w:rPr>
      </w:r>
      <w:r>
        <w:rPr>
          <w:noProof/>
        </w:rPr>
        <w:fldChar w:fldCharType="separate"/>
      </w:r>
      <w:r w:rsidR="003579AE">
        <w:rPr>
          <w:noProof/>
          <w:lang w:val="fr-FR"/>
        </w:rPr>
        <w:t>4</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1.5 - Etendue des prestations</w:t>
      </w:r>
      <w:r w:rsidRPr="00986043">
        <w:rPr>
          <w:noProof/>
          <w:lang w:val="fr-FR"/>
        </w:rPr>
        <w:tab/>
      </w:r>
      <w:r>
        <w:rPr>
          <w:noProof/>
        </w:rPr>
        <w:fldChar w:fldCharType="begin"/>
      </w:r>
      <w:r w:rsidRPr="00986043">
        <w:rPr>
          <w:noProof/>
          <w:lang w:val="fr-FR"/>
        </w:rPr>
        <w:instrText xml:space="preserve"> PAGEREF _Toc56664161 \h </w:instrText>
      </w:r>
      <w:r>
        <w:rPr>
          <w:noProof/>
        </w:rPr>
      </w:r>
      <w:r>
        <w:rPr>
          <w:noProof/>
        </w:rPr>
        <w:fldChar w:fldCharType="separate"/>
      </w:r>
      <w:r w:rsidR="003579AE">
        <w:rPr>
          <w:noProof/>
          <w:lang w:val="fr-FR"/>
        </w:rPr>
        <w:t>4</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1.6 - Nomenclature</w:t>
      </w:r>
      <w:r w:rsidRPr="009F589B">
        <w:rPr>
          <w:noProof/>
          <w:lang w:val="fr-FR"/>
        </w:rPr>
        <w:tab/>
      </w:r>
      <w:r>
        <w:rPr>
          <w:noProof/>
        </w:rPr>
        <w:fldChar w:fldCharType="begin"/>
      </w:r>
      <w:r w:rsidRPr="009F589B">
        <w:rPr>
          <w:noProof/>
          <w:lang w:val="fr-FR"/>
        </w:rPr>
        <w:instrText xml:space="preserve"> PAGEREF _Toc56664162 \h </w:instrText>
      </w:r>
      <w:r>
        <w:rPr>
          <w:noProof/>
        </w:rPr>
      </w:r>
      <w:r>
        <w:rPr>
          <w:noProof/>
        </w:rPr>
        <w:fldChar w:fldCharType="separate"/>
      </w:r>
      <w:r w:rsidR="003579AE">
        <w:rPr>
          <w:noProof/>
          <w:lang w:val="fr-FR"/>
        </w:rPr>
        <w:t>4</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1.7 – Suivi de l’exécution du marché</w:t>
      </w:r>
      <w:r w:rsidRPr="00986043">
        <w:rPr>
          <w:noProof/>
          <w:lang w:val="fr-FR"/>
        </w:rPr>
        <w:tab/>
      </w:r>
      <w:r>
        <w:rPr>
          <w:noProof/>
        </w:rPr>
        <w:fldChar w:fldCharType="begin"/>
      </w:r>
      <w:r w:rsidRPr="00986043">
        <w:rPr>
          <w:noProof/>
          <w:lang w:val="fr-FR"/>
        </w:rPr>
        <w:instrText xml:space="preserve"> PAGEREF _Toc56664163 \h </w:instrText>
      </w:r>
      <w:r>
        <w:rPr>
          <w:noProof/>
        </w:rPr>
      </w:r>
      <w:r>
        <w:rPr>
          <w:noProof/>
        </w:rPr>
        <w:fldChar w:fldCharType="separate"/>
      </w:r>
      <w:r w:rsidR="003579AE">
        <w:rPr>
          <w:noProof/>
          <w:lang w:val="fr-FR"/>
        </w:rPr>
        <w:t>4</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2 - Conditions de la consultation</w:t>
      </w:r>
      <w:r w:rsidRPr="00986043">
        <w:rPr>
          <w:noProof/>
          <w:lang w:val="fr-FR"/>
        </w:rPr>
        <w:tab/>
      </w:r>
      <w:r>
        <w:rPr>
          <w:noProof/>
        </w:rPr>
        <w:fldChar w:fldCharType="begin"/>
      </w:r>
      <w:r w:rsidRPr="00986043">
        <w:rPr>
          <w:noProof/>
          <w:lang w:val="fr-FR"/>
        </w:rPr>
        <w:instrText xml:space="preserve"> PAGEREF _Toc56664164 \h </w:instrText>
      </w:r>
      <w:r>
        <w:rPr>
          <w:noProof/>
        </w:rPr>
      </w:r>
      <w:r>
        <w:rPr>
          <w:noProof/>
        </w:rPr>
        <w:fldChar w:fldCharType="separate"/>
      </w:r>
      <w:r w:rsidR="003579AE">
        <w:rPr>
          <w:noProof/>
          <w:lang w:val="fr-FR"/>
        </w:rPr>
        <w:t>5</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2.1 - Délai de validité des offres</w:t>
      </w:r>
      <w:r w:rsidRPr="00986043">
        <w:rPr>
          <w:noProof/>
          <w:lang w:val="fr-FR"/>
        </w:rPr>
        <w:tab/>
      </w:r>
      <w:r>
        <w:rPr>
          <w:noProof/>
        </w:rPr>
        <w:fldChar w:fldCharType="begin"/>
      </w:r>
      <w:r w:rsidRPr="00986043">
        <w:rPr>
          <w:noProof/>
          <w:lang w:val="fr-FR"/>
        </w:rPr>
        <w:instrText xml:space="preserve"> PAGEREF _Toc56664165 \h </w:instrText>
      </w:r>
      <w:r>
        <w:rPr>
          <w:noProof/>
        </w:rPr>
      </w:r>
      <w:r>
        <w:rPr>
          <w:noProof/>
        </w:rPr>
        <w:fldChar w:fldCharType="separate"/>
      </w:r>
      <w:r w:rsidR="003579AE">
        <w:rPr>
          <w:noProof/>
          <w:lang w:val="fr-FR"/>
        </w:rPr>
        <w:t>5</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2.2 - Forme juridique du groupement</w:t>
      </w:r>
      <w:r w:rsidRPr="00986043">
        <w:rPr>
          <w:noProof/>
          <w:lang w:val="fr-FR"/>
        </w:rPr>
        <w:tab/>
      </w:r>
      <w:r>
        <w:rPr>
          <w:noProof/>
        </w:rPr>
        <w:fldChar w:fldCharType="begin"/>
      </w:r>
      <w:r w:rsidRPr="00986043">
        <w:rPr>
          <w:noProof/>
          <w:lang w:val="fr-FR"/>
        </w:rPr>
        <w:instrText xml:space="preserve"> PAGEREF _Toc56664166 \h </w:instrText>
      </w:r>
      <w:r>
        <w:rPr>
          <w:noProof/>
        </w:rPr>
      </w:r>
      <w:r>
        <w:rPr>
          <w:noProof/>
        </w:rPr>
        <w:fldChar w:fldCharType="separate"/>
      </w:r>
      <w:r w:rsidR="003579AE">
        <w:rPr>
          <w:noProof/>
          <w:lang w:val="fr-FR"/>
        </w:rPr>
        <w:t>5</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2.3 - Variantes</w:t>
      </w:r>
      <w:r w:rsidRPr="00986043">
        <w:rPr>
          <w:noProof/>
          <w:lang w:val="fr-FR"/>
        </w:rPr>
        <w:tab/>
      </w:r>
      <w:r>
        <w:rPr>
          <w:noProof/>
        </w:rPr>
        <w:fldChar w:fldCharType="begin"/>
      </w:r>
      <w:r w:rsidRPr="00986043">
        <w:rPr>
          <w:noProof/>
          <w:lang w:val="fr-FR"/>
        </w:rPr>
        <w:instrText xml:space="preserve"> PAGEREF _Toc56664167 \h </w:instrText>
      </w:r>
      <w:r>
        <w:rPr>
          <w:noProof/>
        </w:rPr>
      </w:r>
      <w:r>
        <w:rPr>
          <w:noProof/>
        </w:rPr>
        <w:fldChar w:fldCharType="separate"/>
      </w:r>
      <w:r w:rsidR="003579AE">
        <w:rPr>
          <w:noProof/>
          <w:lang w:val="fr-FR"/>
        </w:rPr>
        <w:t>5</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3 - Conditions relatives au contrat</w:t>
      </w:r>
      <w:r w:rsidRPr="00986043">
        <w:rPr>
          <w:noProof/>
          <w:lang w:val="fr-FR"/>
        </w:rPr>
        <w:tab/>
      </w:r>
      <w:r>
        <w:rPr>
          <w:noProof/>
        </w:rPr>
        <w:fldChar w:fldCharType="begin"/>
      </w:r>
      <w:r w:rsidRPr="00986043">
        <w:rPr>
          <w:noProof/>
          <w:lang w:val="fr-FR"/>
        </w:rPr>
        <w:instrText xml:space="preserve"> PAGEREF _Toc56664168 \h </w:instrText>
      </w:r>
      <w:r>
        <w:rPr>
          <w:noProof/>
        </w:rPr>
      </w:r>
      <w:r>
        <w:rPr>
          <w:noProof/>
        </w:rPr>
        <w:fldChar w:fldCharType="separate"/>
      </w:r>
      <w:r w:rsidR="003579AE">
        <w:rPr>
          <w:noProof/>
          <w:lang w:val="fr-FR"/>
        </w:rPr>
        <w:t>5</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3.1 - Durée du contrat ou délai d'exécution</w:t>
      </w:r>
      <w:r w:rsidRPr="00986043">
        <w:rPr>
          <w:noProof/>
          <w:lang w:val="fr-FR"/>
        </w:rPr>
        <w:tab/>
      </w:r>
      <w:r>
        <w:rPr>
          <w:noProof/>
        </w:rPr>
        <w:fldChar w:fldCharType="begin"/>
      </w:r>
      <w:r w:rsidRPr="00986043">
        <w:rPr>
          <w:noProof/>
          <w:lang w:val="fr-FR"/>
        </w:rPr>
        <w:instrText xml:space="preserve"> PAGEREF _Toc56664169 \h </w:instrText>
      </w:r>
      <w:r>
        <w:rPr>
          <w:noProof/>
        </w:rPr>
      </w:r>
      <w:r>
        <w:rPr>
          <w:noProof/>
        </w:rPr>
        <w:fldChar w:fldCharType="separate"/>
      </w:r>
      <w:r w:rsidR="003579AE">
        <w:rPr>
          <w:noProof/>
          <w:lang w:val="fr-FR"/>
        </w:rPr>
        <w:t>5</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3.2 - Modalités essentielles de financement et de paiement</w:t>
      </w:r>
      <w:r w:rsidRPr="00986043">
        <w:rPr>
          <w:noProof/>
          <w:lang w:val="fr-FR"/>
        </w:rPr>
        <w:tab/>
      </w:r>
      <w:r>
        <w:rPr>
          <w:noProof/>
        </w:rPr>
        <w:fldChar w:fldCharType="begin"/>
      </w:r>
      <w:r w:rsidRPr="00986043">
        <w:rPr>
          <w:noProof/>
          <w:lang w:val="fr-FR"/>
        </w:rPr>
        <w:instrText xml:space="preserve"> PAGEREF _Toc56664170 \h </w:instrText>
      </w:r>
      <w:r>
        <w:rPr>
          <w:noProof/>
        </w:rPr>
      </w:r>
      <w:r>
        <w:rPr>
          <w:noProof/>
        </w:rPr>
        <w:fldChar w:fldCharType="separate"/>
      </w:r>
      <w:r w:rsidR="003579AE">
        <w:rPr>
          <w:noProof/>
          <w:lang w:val="fr-FR"/>
        </w:rPr>
        <w:t>5</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4 - Contenu du dossier de consultation</w:t>
      </w:r>
      <w:r w:rsidRPr="00986043">
        <w:rPr>
          <w:noProof/>
          <w:lang w:val="fr-FR"/>
        </w:rPr>
        <w:tab/>
      </w:r>
      <w:r>
        <w:rPr>
          <w:noProof/>
        </w:rPr>
        <w:fldChar w:fldCharType="begin"/>
      </w:r>
      <w:r w:rsidRPr="00986043">
        <w:rPr>
          <w:noProof/>
          <w:lang w:val="fr-FR"/>
        </w:rPr>
        <w:instrText xml:space="preserve"> PAGEREF _Toc56664171 \h </w:instrText>
      </w:r>
      <w:r>
        <w:rPr>
          <w:noProof/>
        </w:rPr>
      </w:r>
      <w:r>
        <w:rPr>
          <w:noProof/>
        </w:rPr>
        <w:fldChar w:fldCharType="separate"/>
      </w:r>
      <w:r w:rsidR="003579AE">
        <w:rPr>
          <w:noProof/>
          <w:lang w:val="fr-FR"/>
        </w:rPr>
        <w:t>5</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5 - Présentation des candidatures et des offres</w:t>
      </w:r>
      <w:r w:rsidRPr="00986043">
        <w:rPr>
          <w:noProof/>
          <w:lang w:val="fr-FR"/>
        </w:rPr>
        <w:tab/>
      </w:r>
      <w:r>
        <w:rPr>
          <w:noProof/>
        </w:rPr>
        <w:fldChar w:fldCharType="begin"/>
      </w:r>
      <w:r w:rsidRPr="00986043">
        <w:rPr>
          <w:noProof/>
          <w:lang w:val="fr-FR"/>
        </w:rPr>
        <w:instrText xml:space="preserve"> PAGEREF _Toc56664172 \h </w:instrText>
      </w:r>
      <w:r>
        <w:rPr>
          <w:noProof/>
        </w:rPr>
      </w:r>
      <w:r>
        <w:rPr>
          <w:noProof/>
        </w:rPr>
        <w:fldChar w:fldCharType="separate"/>
      </w:r>
      <w:r w:rsidR="003579AE">
        <w:rPr>
          <w:noProof/>
          <w:lang w:val="fr-FR"/>
        </w:rPr>
        <w:t>6</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5.1 - Documents à produire</w:t>
      </w:r>
      <w:r w:rsidRPr="00986043">
        <w:rPr>
          <w:noProof/>
          <w:lang w:val="fr-FR"/>
        </w:rPr>
        <w:tab/>
      </w:r>
      <w:r>
        <w:rPr>
          <w:noProof/>
        </w:rPr>
        <w:fldChar w:fldCharType="begin"/>
      </w:r>
      <w:r w:rsidRPr="00986043">
        <w:rPr>
          <w:noProof/>
          <w:lang w:val="fr-FR"/>
        </w:rPr>
        <w:instrText xml:space="preserve"> PAGEREF _Toc56664173 \h </w:instrText>
      </w:r>
      <w:r>
        <w:rPr>
          <w:noProof/>
        </w:rPr>
      </w:r>
      <w:r>
        <w:rPr>
          <w:noProof/>
        </w:rPr>
        <w:fldChar w:fldCharType="separate"/>
      </w:r>
      <w:r w:rsidR="003579AE">
        <w:rPr>
          <w:noProof/>
          <w:lang w:val="fr-FR"/>
        </w:rPr>
        <w:t>6</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6 - Conditions d'envoi ou de remise des plis</w:t>
      </w:r>
      <w:r w:rsidRPr="00986043">
        <w:rPr>
          <w:noProof/>
          <w:lang w:val="fr-FR"/>
        </w:rPr>
        <w:tab/>
      </w:r>
      <w:r>
        <w:rPr>
          <w:noProof/>
        </w:rPr>
        <w:fldChar w:fldCharType="begin"/>
      </w:r>
      <w:r w:rsidRPr="00986043">
        <w:rPr>
          <w:noProof/>
          <w:lang w:val="fr-FR"/>
        </w:rPr>
        <w:instrText xml:space="preserve"> PAGEREF _Toc56664174 \h </w:instrText>
      </w:r>
      <w:r>
        <w:rPr>
          <w:noProof/>
        </w:rPr>
      </w:r>
      <w:r>
        <w:rPr>
          <w:noProof/>
        </w:rPr>
        <w:fldChar w:fldCharType="separate"/>
      </w:r>
      <w:r w:rsidR="003579AE">
        <w:rPr>
          <w:noProof/>
          <w:lang w:val="fr-FR"/>
        </w:rPr>
        <w:t>7</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6.2 - Transmission électronique des documents</w:t>
      </w:r>
      <w:r w:rsidRPr="00986043">
        <w:rPr>
          <w:noProof/>
          <w:lang w:val="fr-FR"/>
        </w:rPr>
        <w:tab/>
      </w:r>
      <w:r>
        <w:rPr>
          <w:noProof/>
        </w:rPr>
        <w:fldChar w:fldCharType="begin"/>
      </w:r>
      <w:r w:rsidRPr="00986043">
        <w:rPr>
          <w:noProof/>
          <w:lang w:val="fr-FR"/>
        </w:rPr>
        <w:instrText xml:space="preserve"> PAGEREF _Toc56664175 \h </w:instrText>
      </w:r>
      <w:r>
        <w:rPr>
          <w:noProof/>
        </w:rPr>
      </w:r>
      <w:r>
        <w:rPr>
          <w:noProof/>
        </w:rPr>
        <w:fldChar w:fldCharType="separate"/>
      </w:r>
      <w:r w:rsidR="003579AE">
        <w:rPr>
          <w:noProof/>
          <w:lang w:val="fr-FR"/>
        </w:rPr>
        <w:t>7</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6.3 - Transmission de la copie de sauvegarde</w:t>
      </w:r>
      <w:r w:rsidRPr="00986043">
        <w:rPr>
          <w:noProof/>
          <w:lang w:val="fr-FR"/>
        </w:rPr>
        <w:tab/>
      </w:r>
      <w:r>
        <w:rPr>
          <w:noProof/>
        </w:rPr>
        <w:fldChar w:fldCharType="begin"/>
      </w:r>
      <w:r w:rsidRPr="00986043">
        <w:rPr>
          <w:noProof/>
          <w:lang w:val="fr-FR"/>
        </w:rPr>
        <w:instrText xml:space="preserve"> PAGEREF _Toc56664176 \h </w:instrText>
      </w:r>
      <w:r>
        <w:rPr>
          <w:noProof/>
        </w:rPr>
      </w:r>
      <w:r>
        <w:rPr>
          <w:noProof/>
        </w:rPr>
        <w:fldChar w:fldCharType="separate"/>
      </w:r>
      <w:r w:rsidR="003579AE">
        <w:rPr>
          <w:noProof/>
          <w:lang w:val="fr-FR"/>
        </w:rPr>
        <w:t>8</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7 - Examen des candidatures et des offres</w:t>
      </w:r>
      <w:r w:rsidRPr="00986043">
        <w:rPr>
          <w:noProof/>
          <w:lang w:val="fr-FR"/>
        </w:rPr>
        <w:tab/>
      </w:r>
      <w:r>
        <w:rPr>
          <w:noProof/>
        </w:rPr>
        <w:fldChar w:fldCharType="begin"/>
      </w:r>
      <w:r w:rsidRPr="00986043">
        <w:rPr>
          <w:noProof/>
          <w:lang w:val="fr-FR"/>
        </w:rPr>
        <w:instrText xml:space="preserve"> PAGEREF _Toc56664177 \h </w:instrText>
      </w:r>
      <w:r>
        <w:rPr>
          <w:noProof/>
        </w:rPr>
      </w:r>
      <w:r>
        <w:rPr>
          <w:noProof/>
        </w:rPr>
        <w:fldChar w:fldCharType="separate"/>
      </w:r>
      <w:r w:rsidR="003579AE">
        <w:rPr>
          <w:noProof/>
          <w:lang w:val="fr-FR"/>
        </w:rPr>
        <w:t>9</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7.1 - Sélection des candidatures</w:t>
      </w:r>
      <w:r w:rsidRPr="00986043">
        <w:rPr>
          <w:noProof/>
          <w:lang w:val="fr-FR"/>
        </w:rPr>
        <w:tab/>
      </w:r>
      <w:r>
        <w:rPr>
          <w:noProof/>
        </w:rPr>
        <w:fldChar w:fldCharType="begin"/>
      </w:r>
      <w:r w:rsidRPr="00986043">
        <w:rPr>
          <w:noProof/>
          <w:lang w:val="fr-FR"/>
        </w:rPr>
        <w:instrText xml:space="preserve"> PAGEREF _Toc56664178 \h </w:instrText>
      </w:r>
      <w:r>
        <w:rPr>
          <w:noProof/>
        </w:rPr>
      </w:r>
      <w:r>
        <w:rPr>
          <w:noProof/>
        </w:rPr>
        <w:fldChar w:fldCharType="separate"/>
      </w:r>
      <w:r w:rsidR="003579AE">
        <w:rPr>
          <w:noProof/>
          <w:lang w:val="fr-FR"/>
        </w:rPr>
        <w:t>9</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7.2 - Attribution des marchés</w:t>
      </w:r>
      <w:r w:rsidRPr="00986043">
        <w:rPr>
          <w:noProof/>
          <w:lang w:val="fr-FR"/>
        </w:rPr>
        <w:tab/>
      </w:r>
      <w:r>
        <w:rPr>
          <w:noProof/>
        </w:rPr>
        <w:fldChar w:fldCharType="begin"/>
      </w:r>
      <w:r w:rsidRPr="00986043">
        <w:rPr>
          <w:noProof/>
          <w:lang w:val="fr-FR"/>
        </w:rPr>
        <w:instrText xml:space="preserve"> PAGEREF _Toc56664179 \h </w:instrText>
      </w:r>
      <w:r>
        <w:rPr>
          <w:noProof/>
        </w:rPr>
      </w:r>
      <w:r>
        <w:rPr>
          <w:noProof/>
        </w:rPr>
        <w:fldChar w:fldCharType="separate"/>
      </w:r>
      <w:r w:rsidR="003579AE">
        <w:rPr>
          <w:noProof/>
          <w:lang w:val="fr-FR"/>
        </w:rPr>
        <w:t>9</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7.3 - Suite à donner à la consultation</w:t>
      </w:r>
      <w:r w:rsidRPr="00986043">
        <w:rPr>
          <w:noProof/>
          <w:lang w:val="fr-FR"/>
        </w:rPr>
        <w:tab/>
      </w:r>
      <w:r>
        <w:rPr>
          <w:noProof/>
        </w:rPr>
        <w:fldChar w:fldCharType="begin"/>
      </w:r>
      <w:r w:rsidRPr="00986043">
        <w:rPr>
          <w:noProof/>
          <w:lang w:val="fr-FR"/>
        </w:rPr>
        <w:instrText xml:space="preserve"> PAGEREF _Toc56664180 \h </w:instrText>
      </w:r>
      <w:r>
        <w:rPr>
          <w:noProof/>
        </w:rPr>
      </w:r>
      <w:r>
        <w:rPr>
          <w:noProof/>
        </w:rPr>
        <w:fldChar w:fldCharType="separate"/>
      </w:r>
      <w:r w:rsidR="003579AE">
        <w:rPr>
          <w:noProof/>
          <w:lang w:val="fr-FR"/>
        </w:rPr>
        <w:t>9</w:t>
      </w:r>
      <w:r>
        <w:rPr>
          <w:noProof/>
        </w:rPr>
        <w:fldChar w:fldCharType="end"/>
      </w:r>
    </w:p>
    <w:p w:rsidR="00986043" w:rsidRDefault="00986043">
      <w:pPr>
        <w:pStyle w:val="TM1"/>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8 - Renseignements complémentaires</w:t>
      </w:r>
      <w:r w:rsidRPr="00986043">
        <w:rPr>
          <w:noProof/>
          <w:lang w:val="fr-FR"/>
        </w:rPr>
        <w:tab/>
      </w:r>
      <w:r>
        <w:rPr>
          <w:noProof/>
        </w:rPr>
        <w:fldChar w:fldCharType="begin"/>
      </w:r>
      <w:r w:rsidRPr="00986043">
        <w:rPr>
          <w:noProof/>
          <w:lang w:val="fr-FR"/>
        </w:rPr>
        <w:instrText xml:space="preserve"> PAGEREF _Toc56664181 \h </w:instrText>
      </w:r>
      <w:r>
        <w:rPr>
          <w:noProof/>
        </w:rPr>
      </w:r>
      <w:r>
        <w:rPr>
          <w:noProof/>
        </w:rPr>
        <w:fldChar w:fldCharType="separate"/>
      </w:r>
      <w:r w:rsidR="003579AE">
        <w:rPr>
          <w:noProof/>
          <w:lang w:val="fr-FR"/>
        </w:rPr>
        <w:t>9</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8.1 - Adresses supplémentaires et points de contact</w:t>
      </w:r>
      <w:r w:rsidRPr="00986043">
        <w:rPr>
          <w:noProof/>
          <w:lang w:val="fr-FR"/>
        </w:rPr>
        <w:tab/>
      </w:r>
      <w:r>
        <w:rPr>
          <w:noProof/>
        </w:rPr>
        <w:fldChar w:fldCharType="begin"/>
      </w:r>
      <w:r w:rsidRPr="00986043">
        <w:rPr>
          <w:noProof/>
          <w:lang w:val="fr-FR"/>
        </w:rPr>
        <w:instrText xml:space="preserve"> PAGEREF _Toc56664182 \h </w:instrText>
      </w:r>
      <w:r>
        <w:rPr>
          <w:noProof/>
        </w:rPr>
      </w:r>
      <w:r>
        <w:rPr>
          <w:noProof/>
        </w:rPr>
        <w:fldChar w:fldCharType="separate"/>
      </w:r>
      <w:r w:rsidR="003579AE">
        <w:rPr>
          <w:noProof/>
          <w:lang w:val="fr-FR"/>
        </w:rPr>
        <w:t>9</w:t>
      </w:r>
      <w:r>
        <w:rPr>
          <w:noProof/>
        </w:rPr>
        <w:fldChar w:fldCharType="end"/>
      </w:r>
    </w:p>
    <w:p w:rsidR="00986043" w:rsidRDefault="00986043">
      <w:pPr>
        <w:pStyle w:val="TM2"/>
        <w:tabs>
          <w:tab w:val="right" w:leader="dot" w:pos="9622"/>
        </w:tabs>
        <w:rPr>
          <w:rFonts w:asciiTheme="minorHAnsi" w:eastAsiaTheme="minorEastAsia" w:hAnsiTheme="minorHAnsi" w:cstheme="minorBidi"/>
          <w:noProof/>
          <w:sz w:val="22"/>
          <w:szCs w:val="22"/>
          <w:lang w:val="fr-FR" w:eastAsia="fr-FR"/>
        </w:rPr>
      </w:pPr>
      <w:r w:rsidRPr="002D267C">
        <w:rPr>
          <w:rFonts w:eastAsia="Arial"/>
          <w:noProof/>
          <w:color w:val="000000"/>
          <w:lang w:val="fr-FR"/>
        </w:rPr>
        <w:t>8.2 - Procédures de recours</w:t>
      </w:r>
      <w:r w:rsidRPr="009F589B">
        <w:rPr>
          <w:noProof/>
          <w:lang w:val="fr-FR"/>
        </w:rPr>
        <w:tab/>
      </w:r>
      <w:r>
        <w:rPr>
          <w:noProof/>
        </w:rPr>
        <w:fldChar w:fldCharType="begin"/>
      </w:r>
      <w:r w:rsidRPr="009F589B">
        <w:rPr>
          <w:noProof/>
          <w:lang w:val="fr-FR"/>
        </w:rPr>
        <w:instrText xml:space="preserve"> PAGEREF _Toc56664183 \h </w:instrText>
      </w:r>
      <w:r>
        <w:rPr>
          <w:noProof/>
        </w:rPr>
      </w:r>
      <w:r>
        <w:rPr>
          <w:noProof/>
        </w:rPr>
        <w:fldChar w:fldCharType="separate"/>
      </w:r>
      <w:r w:rsidR="003579AE">
        <w:rPr>
          <w:noProof/>
          <w:lang w:val="fr-FR"/>
        </w:rPr>
        <w:t>10</w:t>
      </w:r>
      <w:r>
        <w:rPr>
          <w:noProof/>
        </w:rPr>
        <w:fldChar w:fldCharType="end"/>
      </w:r>
    </w:p>
    <w:p w:rsidR="00F77556" w:rsidRDefault="0022344C">
      <w:pPr>
        <w:spacing w:after="140"/>
        <w:ind w:left="20" w:right="20"/>
        <w:rPr>
          <w:rFonts w:ascii="Arial" w:eastAsia="Arial" w:hAnsi="Arial" w:cs="Arial"/>
          <w:color w:val="000000"/>
          <w:sz w:val="22"/>
          <w:lang w:val="fr-FR"/>
        </w:rPr>
        <w:sectPr w:rsidR="00F77556">
          <w:pgSz w:w="11900" w:h="16840"/>
          <w:pgMar w:top="1134" w:right="1134" w:bottom="1134" w:left="1134" w:header="1134" w:footer="1134" w:gutter="0"/>
          <w:cols w:space="708"/>
        </w:sectPr>
      </w:pPr>
      <w:r>
        <w:rPr>
          <w:rFonts w:ascii="Arial" w:eastAsia="Arial" w:hAnsi="Arial" w:cs="Arial"/>
          <w:color w:val="000000"/>
          <w:sz w:val="22"/>
          <w:lang w:val="fr-FR"/>
        </w:rPr>
        <w:fldChar w:fldCharType="end"/>
      </w:r>
    </w:p>
    <w:p w:rsidR="00F77556" w:rsidRPr="00F47A11" w:rsidRDefault="00F77556">
      <w:pPr>
        <w:spacing w:line="20" w:lineRule="exact"/>
        <w:rPr>
          <w:sz w:val="2"/>
          <w:lang w:val="fr-FR"/>
        </w:rPr>
      </w:pPr>
    </w:p>
    <w:p w:rsidR="00F77556" w:rsidRDefault="0022344C">
      <w:pPr>
        <w:pStyle w:val="Titre1"/>
        <w:rPr>
          <w:rFonts w:eastAsia="Arial"/>
          <w:color w:val="000000"/>
          <w:sz w:val="28"/>
          <w:lang w:val="fr-FR"/>
        </w:rPr>
      </w:pPr>
      <w:bookmarkStart w:id="0" w:name="_Toc56664156"/>
      <w:r>
        <w:rPr>
          <w:rFonts w:eastAsia="Arial"/>
          <w:color w:val="000000"/>
          <w:sz w:val="28"/>
          <w:lang w:val="fr-FR"/>
        </w:rPr>
        <w:t>1 - Objet et étendue de la consultation</w:t>
      </w:r>
      <w:bookmarkEnd w:id="0"/>
    </w:p>
    <w:p w:rsidR="00F77556" w:rsidRDefault="0022344C">
      <w:pPr>
        <w:pStyle w:val="Titre2"/>
        <w:ind w:left="300" w:right="20"/>
        <w:rPr>
          <w:rFonts w:eastAsia="Arial"/>
          <w:i w:val="0"/>
          <w:color w:val="000000"/>
          <w:sz w:val="24"/>
          <w:lang w:val="fr-FR"/>
        </w:rPr>
      </w:pPr>
      <w:bookmarkStart w:id="1" w:name="_Toc56664157"/>
      <w:r>
        <w:rPr>
          <w:rFonts w:eastAsia="Arial"/>
          <w:i w:val="0"/>
          <w:color w:val="000000"/>
          <w:sz w:val="24"/>
          <w:lang w:val="fr-FR"/>
        </w:rPr>
        <w:t>1.1 - Objet</w:t>
      </w:r>
      <w:bookmarkEnd w:id="1"/>
    </w:p>
    <w:p w:rsidR="00F77556" w:rsidRDefault="0022344C">
      <w:pPr>
        <w:pStyle w:val="ParagrapheIndent2"/>
        <w:spacing w:line="230" w:lineRule="exact"/>
        <w:ind w:left="20" w:right="20"/>
        <w:jc w:val="both"/>
        <w:rPr>
          <w:color w:val="000000"/>
          <w:lang w:val="fr-FR"/>
        </w:rPr>
      </w:pPr>
      <w:r>
        <w:rPr>
          <w:color w:val="000000"/>
          <w:lang w:val="fr-FR"/>
        </w:rPr>
        <w:t>La présente consultation concerne :</w:t>
      </w:r>
    </w:p>
    <w:p w:rsidR="00C56F72" w:rsidRPr="00C56F72" w:rsidRDefault="00C56F72" w:rsidP="00C56F72">
      <w:pPr>
        <w:rPr>
          <w:lang w:val="fr-FR"/>
        </w:rPr>
      </w:pPr>
    </w:p>
    <w:p w:rsidR="00F77556" w:rsidRDefault="00C56F72">
      <w:pPr>
        <w:pStyle w:val="ParagrapheIndent2"/>
        <w:spacing w:line="230" w:lineRule="exact"/>
        <w:ind w:left="20" w:right="20"/>
        <w:jc w:val="both"/>
        <w:rPr>
          <w:b/>
          <w:color w:val="000000"/>
          <w:lang w:val="fr-FR"/>
        </w:rPr>
      </w:pPr>
      <w:r w:rsidRPr="00C56F72">
        <w:rPr>
          <w:b/>
          <w:color w:val="000000"/>
          <w:lang w:val="fr-FR"/>
        </w:rPr>
        <w:t>L’</w:t>
      </w:r>
      <w:r w:rsidR="0022344C" w:rsidRPr="00C56F72">
        <w:rPr>
          <w:b/>
          <w:color w:val="000000"/>
          <w:lang w:val="fr-FR"/>
        </w:rPr>
        <w:t xml:space="preserve">ACCORD CADRE POUR LA REALISATION DE RECONNAISSANCES ET D'ETUDES GEOTECHNIQUES DANS LE CADRE D'AMENAGEMENTS TOURISTIQUES (EAT) DE </w:t>
      </w:r>
      <w:r w:rsidR="00B809A3">
        <w:rPr>
          <w:b/>
          <w:color w:val="000000"/>
          <w:lang w:val="fr-FR"/>
        </w:rPr>
        <w:t xml:space="preserve">LA COMMUNE DES TROIS-ILETS </w:t>
      </w:r>
    </w:p>
    <w:p w:rsidR="00B809A3" w:rsidRPr="00B809A3" w:rsidRDefault="00B809A3" w:rsidP="00B809A3">
      <w:pPr>
        <w:rPr>
          <w:lang w:val="fr-FR"/>
        </w:rPr>
      </w:pPr>
    </w:p>
    <w:p w:rsidR="00F77556" w:rsidRDefault="00B809A3">
      <w:pPr>
        <w:pStyle w:val="ParagrapheIndent2"/>
        <w:spacing w:after="240" w:line="230" w:lineRule="exact"/>
        <w:ind w:left="20" w:right="20"/>
        <w:jc w:val="both"/>
        <w:rPr>
          <w:color w:val="000000"/>
          <w:lang w:val="fr-FR"/>
        </w:rPr>
      </w:pPr>
      <w:r>
        <w:rPr>
          <w:color w:val="000000"/>
          <w:lang w:val="fr-FR"/>
        </w:rPr>
        <w:t>L</w:t>
      </w:r>
      <w:r w:rsidR="0022344C">
        <w:rPr>
          <w:color w:val="000000"/>
          <w:lang w:val="fr-FR"/>
        </w:rPr>
        <w:t xml:space="preserve">a mission à réaliser se situe sur la commune de </w:t>
      </w:r>
      <w:r>
        <w:rPr>
          <w:color w:val="000000"/>
          <w:lang w:val="fr-FR"/>
        </w:rPr>
        <w:t>Trois-Ilets</w:t>
      </w:r>
      <w:r w:rsidR="0022344C">
        <w:rPr>
          <w:color w:val="000000"/>
          <w:lang w:val="fr-FR"/>
        </w:rPr>
        <w:t>, en Martinique. Elle correspond à des prestations de missions géotechniques (reconnaissances et études). La mission est un accord-cadre à bons de commande.</w:t>
      </w:r>
    </w:p>
    <w:p w:rsidR="00F77556" w:rsidRDefault="0022344C">
      <w:pPr>
        <w:pStyle w:val="ParagrapheIndent2"/>
        <w:spacing w:line="230" w:lineRule="exact"/>
        <w:ind w:left="20" w:right="20"/>
        <w:jc w:val="both"/>
        <w:rPr>
          <w:color w:val="000000"/>
          <w:lang w:val="fr-FR"/>
        </w:rPr>
      </w:pPr>
      <w:r>
        <w:rPr>
          <w:color w:val="000000"/>
          <w:lang w:val="fr-FR"/>
        </w:rPr>
        <w:t>Lieu(x) d'exécution :</w:t>
      </w:r>
    </w:p>
    <w:p w:rsidR="00F77556" w:rsidRDefault="00B809A3">
      <w:pPr>
        <w:pStyle w:val="ParagrapheIndent2"/>
        <w:spacing w:after="240" w:line="230" w:lineRule="exact"/>
        <w:ind w:left="20" w:right="20"/>
        <w:jc w:val="both"/>
        <w:rPr>
          <w:color w:val="000000"/>
          <w:lang w:val="fr-FR"/>
        </w:rPr>
      </w:pPr>
      <w:r>
        <w:rPr>
          <w:color w:val="000000"/>
          <w:lang w:val="fr-FR"/>
        </w:rPr>
        <w:t xml:space="preserve">Territoire des Trois-Ilets </w:t>
      </w:r>
    </w:p>
    <w:p w:rsidR="00F77556" w:rsidRDefault="0022344C">
      <w:pPr>
        <w:pStyle w:val="Titre2"/>
        <w:ind w:left="300" w:right="20"/>
        <w:rPr>
          <w:rFonts w:eastAsia="Arial"/>
          <w:i w:val="0"/>
          <w:color w:val="000000"/>
          <w:sz w:val="24"/>
          <w:lang w:val="fr-FR"/>
        </w:rPr>
      </w:pPr>
      <w:bookmarkStart w:id="2" w:name="_Toc56664158"/>
      <w:r>
        <w:rPr>
          <w:rFonts w:eastAsia="Arial"/>
          <w:i w:val="0"/>
          <w:color w:val="000000"/>
          <w:sz w:val="24"/>
          <w:lang w:val="fr-FR"/>
        </w:rPr>
        <w:t>1.2 - Mode de passation</w:t>
      </w:r>
      <w:bookmarkEnd w:id="2"/>
    </w:p>
    <w:p w:rsidR="00F77556" w:rsidRDefault="0022344C">
      <w:pPr>
        <w:pStyle w:val="ParagrapheIndent2"/>
        <w:spacing w:after="240" w:line="230" w:lineRule="exact"/>
        <w:ind w:left="20" w:right="20"/>
        <w:jc w:val="both"/>
        <w:rPr>
          <w:color w:val="000000"/>
          <w:lang w:val="fr-FR"/>
        </w:rPr>
      </w:pPr>
      <w:r>
        <w:rPr>
          <w:color w:val="000000"/>
          <w:lang w:val="fr-FR"/>
        </w:rPr>
        <w:t xml:space="preserve">La procédure de passation utilisée est : </w:t>
      </w:r>
      <w:r w:rsidR="00F857EF">
        <w:rPr>
          <w:color w:val="000000"/>
          <w:lang w:val="fr-FR"/>
        </w:rPr>
        <w:t>l’appel d’offres ouvert</w:t>
      </w:r>
      <w:r>
        <w:rPr>
          <w:color w:val="000000"/>
          <w:lang w:val="fr-FR"/>
        </w:rPr>
        <w:t>. Elle est soumis</w:t>
      </w:r>
      <w:r w:rsidR="00F857EF">
        <w:rPr>
          <w:color w:val="000000"/>
          <w:lang w:val="fr-FR"/>
        </w:rPr>
        <w:t xml:space="preserve">e aux dispositions de l’article L2124-2 </w:t>
      </w:r>
      <w:bookmarkStart w:id="3" w:name="_GoBack"/>
      <w:bookmarkEnd w:id="3"/>
      <w:r>
        <w:rPr>
          <w:color w:val="000000"/>
          <w:lang w:val="fr-FR"/>
        </w:rPr>
        <w:t>du Code de la commande publique.</w:t>
      </w:r>
    </w:p>
    <w:p w:rsidR="00F77556" w:rsidRDefault="0022344C">
      <w:pPr>
        <w:pStyle w:val="Titre2"/>
        <w:ind w:left="300" w:right="20"/>
        <w:rPr>
          <w:rFonts w:eastAsia="Arial"/>
          <w:i w:val="0"/>
          <w:color w:val="000000"/>
          <w:sz w:val="24"/>
          <w:lang w:val="fr-FR"/>
        </w:rPr>
      </w:pPr>
      <w:bookmarkStart w:id="4" w:name="_Toc56664159"/>
      <w:r>
        <w:rPr>
          <w:rFonts w:eastAsia="Arial"/>
          <w:i w:val="0"/>
          <w:color w:val="000000"/>
          <w:sz w:val="24"/>
          <w:lang w:val="fr-FR"/>
        </w:rPr>
        <w:t>1.3 - Type de contrat</w:t>
      </w:r>
      <w:bookmarkEnd w:id="4"/>
    </w:p>
    <w:p w:rsidR="00F77556" w:rsidRDefault="0022344C">
      <w:pPr>
        <w:pStyle w:val="ParagrapheIndent2"/>
        <w:spacing w:after="240" w:line="230" w:lineRule="exact"/>
        <w:ind w:left="20" w:right="20"/>
        <w:jc w:val="both"/>
        <w:rPr>
          <w:color w:val="000000"/>
          <w:lang w:val="fr-FR"/>
        </w:rPr>
      </w:pPr>
      <w:r>
        <w:rPr>
          <w:color w:val="000000"/>
          <w:lang w:val="fr-FR"/>
        </w:rPr>
        <w:t>L'accord-cadre sans minimum ni maximum est passé en application des articles L2125-1 1°, R. 2162-1 à R. 2162-6, R. 2162-13 et R. 2162-14 du Code de la commande publique. Il donnera lieu à l'émission de bons de commande.</w:t>
      </w:r>
    </w:p>
    <w:p w:rsidR="00C56F72" w:rsidRPr="00C56F72" w:rsidRDefault="00C56F72" w:rsidP="00C56F72">
      <w:pPr>
        <w:jc w:val="both"/>
        <w:rPr>
          <w:rFonts w:ascii="Arial" w:hAnsi="Arial" w:cs="Arial"/>
          <w:sz w:val="20"/>
          <w:szCs w:val="20"/>
          <w:lang w:val="fr-FR"/>
        </w:rPr>
      </w:pPr>
      <w:r w:rsidRPr="00C56F72">
        <w:rPr>
          <w:rFonts w:ascii="Arial" w:hAnsi="Arial" w:cs="Arial"/>
          <w:sz w:val="20"/>
          <w:szCs w:val="20"/>
          <w:lang w:val="fr-FR"/>
        </w:rPr>
        <w:t>Les bons de commande sont des documents écrits adressés aux titulaires de l’accord-cadre qui précisent celles des prestations, décrites dans l’accord-cadre, dont l’exécution est demandée et en déterminent la quantité. L’émission des bons de commande s’effectue sans négociation ni remise en concurrence préalable des titulaires, selon des modalités prévues par l’accord-cadre.</w:t>
      </w:r>
    </w:p>
    <w:p w:rsidR="00C56F72" w:rsidRPr="00C56F72" w:rsidRDefault="00C56F72" w:rsidP="00C56F72">
      <w:pPr>
        <w:jc w:val="both"/>
        <w:rPr>
          <w:rFonts w:ascii="Arial" w:hAnsi="Arial" w:cs="Arial"/>
          <w:sz w:val="20"/>
          <w:szCs w:val="20"/>
          <w:lang w:val="fr-FR"/>
        </w:rPr>
      </w:pPr>
    </w:p>
    <w:p w:rsidR="00C56F72" w:rsidRPr="00C56F72" w:rsidRDefault="00C56F72" w:rsidP="00C56F72">
      <w:pPr>
        <w:jc w:val="both"/>
        <w:rPr>
          <w:rFonts w:ascii="Arial" w:hAnsi="Arial" w:cs="Arial"/>
          <w:sz w:val="20"/>
          <w:szCs w:val="20"/>
          <w:lang w:val="fr-FR"/>
        </w:rPr>
      </w:pPr>
      <w:r w:rsidRPr="00C56F72">
        <w:rPr>
          <w:rFonts w:ascii="Arial" w:hAnsi="Arial" w:cs="Arial"/>
          <w:sz w:val="20"/>
          <w:szCs w:val="20"/>
          <w:lang w:val="fr-FR"/>
        </w:rPr>
        <w:t xml:space="preserve">Le présent accord-cadre est un marché à bons de commande de prestations </w:t>
      </w:r>
      <w:r>
        <w:rPr>
          <w:rFonts w:ascii="Arial" w:hAnsi="Arial" w:cs="Arial"/>
          <w:sz w:val="20"/>
          <w:szCs w:val="20"/>
          <w:lang w:val="fr-FR"/>
        </w:rPr>
        <w:t>intellectuelles</w:t>
      </w:r>
      <w:r w:rsidRPr="00C56F72">
        <w:rPr>
          <w:rFonts w:ascii="Arial" w:hAnsi="Arial" w:cs="Arial"/>
          <w:sz w:val="20"/>
          <w:szCs w:val="20"/>
          <w:lang w:val="fr-FR"/>
        </w:rPr>
        <w:t>.</w:t>
      </w:r>
    </w:p>
    <w:p w:rsidR="00C56F72" w:rsidRPr="00C56F72" w:rsidRDefault="00C56F72" w:rsidP="00C56F72">
      <w:pPr>
        <w:jc w:val="both"/>
        <w:rPr>
          <w:sz w:val="20"/>
          <w:szCs w:val="20"/>
          <w:lang w:val="fr-FR"/>
        </w:rPr>
      </w:pPr>
    </w:p>
    <w:p w:rsidR="00F77556" w:rsidRDefault="0022344C">
      <w:pPr>
        <w:pStyle w:val="Titre2"/>
        <w:ind w:left="300" w:right="20"/>
        <w:rPr>
          <w:rFonts w:eastAsia="Arial"/>
          <w:i w:val="0"/>
          <w:color w:val="000000"/>
          <w:sz w:val="24"/>
          <w:lang w:val="fr-FR"/>
        </w:rPr>
      </w:pPr>
      <w:bookmarkStart w:id="5" w:name="_Toc56664160"/>
      <w:r>
        <w:rPr>
          <w:rFonts w:eastAsia="Arial"/>
          <w:i w:val="0"/>
          <w:color w:val="000000"/>
          <w:sz w:val="24"/>
          <w:lang w:val="fr-FR"/>
        </w:rPr>
        <w:t>1.4 - Décomposition de la consultation</w:t>
      </w:r>
      <w:bookmarkEnd w:id="5"/>
    </w:p>
    <w:p w:rsidR="00F77556" w:rsidRDefault="0022344C">
      <w:pPr>
        <w:pStyle w:val="ParagrapheIndent2"/>
        <w:spacing w:after="240"/>
        <w:ind w:left="20" w:right="20"/>
        <w:jc w:val="both"/>
        <w:rPr>
          <w:color w:val="000000"/>
          <w:lang w:val="fr-FR"/>
        </w:rPr>
      </w:pPr>
      <w:r>
        <w:rPr>
          <w:color w:val="000000"/>
          <w:lang w:val="fr-FR"/>
        </w:rPr>
        <w:t>Il n'est pas prévu de décomposition en lots.</w:t>
      </w:r>
    </w:p>
    <w:p w:rsidR="00F77556" w:rsidRDefault="0022344C">
      <w:pPr>
        <w:pStyle w:val="Titre2"/>
        <w:ind w:left="300" w:right="20"/>
        <w:rPr>
          <w:rFonts w:eastAsia="Arial"/>
          <w:i w:val="0"/>
          <w:color w:val="000000"/>
          <w:sz w:val="24"/>
          <w:lang w:val="fr-FR"/>
        </w:rPr>
      </w:pPr>
      <w:bookmarkStart w:id="6" w:name="_Toc56664161"/>
      <w:r>
        <w:rPr>
          <w:rFonts w:eastAsia="Arial"/>
          <w:i w:val="0"/>
          <w:color w:val="000000"/>
          <w:sz w:val="24"/>
          <w:lang w:val="fr-FR"/>
        </w:rPr>
        <w:t>1.5 - Etendue des prestations</w:t>
      </w:r>
      <w:bookmarkEnd w:id="6"/>
    </w:p>
    <w:p w:rsidR="00F77556" w:rsidRDefault="0022344C">
      <w:pPr>
        <w:pStyle w:val="ParagrapheIndent2"/>
        <w:spacing w:line="230" w:lineRule="exact"/>
        <w:ind w:left="20" w:right="20"/>
        <w:jc w:val="both"/>
        <w:rPr>
          <w:color w:val="000000"/>
          <w:lang w:val="fr-FR"/>
        </w:rPr>
      </w:pPr>
      <w:r>
        <w:rPr>
          <w:color w:val="000000"/>
          <w:lang w:val="fr-FR"/>
        </w:rPr>
        <w:t>Le montant des prestations pour la période initiale de l'accord-cadre est estimé(e) à :</w:t>
      </w:r>
      <w:r w:rsidR="00B809A3">
        <w:rPr>
          <w:color w:val="000000"/>
          <w:lang w:val="fr-FR"/>
        </w:rPr>
        <w:t xml:space="preserve"> 15 000.00€ HT</w:t>
      </w:r>
    </w:p>
    <w:p w:rsidR="00F77556" w:rsidRPr="007D75D8" w:rsidRDefault="0022344C">
      <w:pPr>
        <w:spacing w:after="80" w:line="240" w:lineRule="exact"/>
        <w:rPr>
          <w:lang w:val="fr-FR"/>
        </w:rPr>
      </w:pPr>
      <w:r w:rsidRPr="007D75D8">
        <w:rPr>
          <w:lang w:val="fr-FR"/>
        </w:rPr>
        <w:t xml:space="preserve"> </w:t>
      </w:r>
    </w:p>
    <w:p w:rsidR="00F77556" w:rsidRDefault="00F77556">
      <w:pPr>
        <w:pStyle w:val="ParagrapheIndent2"/>
        <w:spacing w:line="230" w:lineRule="exact"/>
        <w:ind w:left="20" w:right="20"/>
        <w:jc w:val="both"/>
        <w:rPr>
          <w:color w:val="000000"/>
          <w:lang w:val="fr-FR"/>
        </w:rPr>
      </w:pPr>
    </w:p>
    <w:p w:rsidR="00F77556" w:rsidRDefault="0022344C">
      <w:pPr>
        <w:pStyle w:val="ParagrapheIndent2"/>
        <w:spacing w:after="240" w:line="230" w:lineRule="exact"/>
        <w:ind w:left="20" w:right="20"/>
        <w:jc w:val="both"/>
        <w:rPr>
          <w:color w:val="000000"/>
          <w:lang w:val="fr-FR"/>
        </w:rPr>
      </w:pPr>
      <w:r>
        <w:rPr>
          <w:color w:val="000000"/>
          <w:lang w:val="fr-FR"/>
        </w:rPr>
        <w:t>Les montants seront identiques pour chaque période de reconduction.</w:t>
      </w:r>
    </w:p>
    <w:p w:rsidR="00F77556" w:rsidRDefault="0022344C">
      <w:pPr>
        <w:pStyle w:val="Titre2"/>
        <w:ind w:left="300" w:right="20"/>
        <w:rPr>
          <w:rFonts w:eastAsia="Arial"/>
          <w:i w:val="0"/>
          <w:color w:val="000000"/>
          <w:sz w:val="24"/>
          <w:lang w:val="fr-FR"/>
        </w:rPr>
      </w:pPr>
      <w:bookmarkStart w:id="7" w:name="_Toc56664162"/>
      <w:r>
        <w:rPr>
          <w:rFonts w:eastAsia="Arial"/>
          <w:i w:val="0"/>
          <w:color w:val="000000"/>
          <w:sz w:val="24"/>
          <w:lang w:val="fr-FR"/>
        </w:rPr>
        <w:t>1.6 - Nomenclature</w:t>
      </w:r>
      <w:bookmarkEnd w:id="7"/>
    </w:p>
    <w:p w:rsidR="00F77556" w:rsidRDefault="0022344C">
      <w:pPr>
        <w:pStyle w:val="ParagrapheIndent2"/>
        <w:spacing w:line="230" w:lineRule="exact"/>
        <w:ind w:left="20" w:right="20"/>
        <w:jc w:val="both"/>
        <w:rPr>
          <w:color w:val="000000"/>
          <w:lang w:val="fr-FR"/>
        </w:rPr>
      </w:pPr>
      <w:r>
        <w:rPr>
          <w:color w:val="000000"/>
          <w:lang w:val="fr-FR"/>
        </w:rPr>
        <w:t>La classification conforme au vocabulaire commun des marchés européens (CPV) est :</w:t>
      </w:r>
    </w:p>
    <w:p w:rsidR="00F77556" w:rsidRDefault="00F77556">
      <w:pPr>
        <w:pStyle w:val="ParagrapheIndent2"/>
        <w:spacing w:line="230" w:lineRule="exact"/>
        <w:ind w:left="20" w:right="20"/>
        <w:jc w:val="both"/>
        <w:rPr>
          <w:color w:val="000000"/>
          <w:lang w:val="fr-FR"/>
        </w:rPr>
      </w:pPr>
    </w:p>
    <w:tbl>
      <w:tblPr>
        <w:tblW w:w="9622" w:type="dxa"/>
        <w:tblInd w:w="20" w:type="dxa"/>
        <w:tblLayout w:type="fixed"/>
        <w:tblLook w:val="04A0" w:firstRow="1" w:lastRow="0" w:firstColumn="1" w:lastColumn="0" w:noHBand="0" w:noVBand="1"/>
      </w:tblPr>
      <w:tblGrid>
        <w:gridCol w:w="1400"/>
        <w:gridCol w:w="8222"/>
      </w:tblGrid>
      <w:tr w:rsidR="00C56F72" w:rsidTr="00C56F72">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C56F72" w:rsidRDefault="00C56F72">
            <w:pPr>
              <w:spacing w:before="200" w:after="60"/>
              <w:jc w:val="center"/>
              <w:rPr>
                <w:rFonts w:ascii="Arial" w:eastAsia="Arial" w:hAnsi="Arial" w:cs="Arial"/>
                <w:color w:val="000000"/>
                <w:sz w:val="20"/>
                <w:lang w:val="fr-FR"/>
              </w:rPr>
            </w:pPr>
            <w:r>
              <w:rPr>
                <w:rFonts w:ascii="Arial" w:eastAsia="Arial" w:hAnsi="Arial" w:cs="Arial"/>
                <w:color w:val="000000"/>
                <w:sz w:val="20"/>
                <w:lang w:val="fr-FR"/>
              </w:rPr>
              <w:t>Code principal</w:t>
            </w:r>
          </w:p>
        </w:tc>
        <w:tc>
          <w:tcPr>
            <w:tcW w:w="8222"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C56F72" w:rsidRDefault="00C56F72">
            <w:pPr>
              <w:spacing w:before="200" w:after="60"/>
              <w:jc w:val="center"/>
              <w:rPr>
                <w:rFonts w:ascii="Arial" w:eastAsia="Arial" w:hAnsi="Arial" w:cs="Arial"/>
                <w:color w:val="000000"/>
                <w:sz w:val="20"/>
                <w:lang w:val="fr-FR"/>
              </w:rPr>
            </w:pPr>
            <w:r>
              <w:rPr>
                <w:rFonts w:ascii="Arial" w:eastAsia="Arial" w:hAnsi="Arial" w:cs="Arial"/>
                <w:color w:val="000000"/>
                <w:sz w:val="20"/>
                <w:lang w:val="fr-FR"/>
              </w:rPr>
              <w:t>Description</w:t>
            </w:r>
          </w:p>
        </w:tc>
      </w:tr>
      <w:tr w:rsidR="00C56F72" w:rsidTr="00C56F72">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56F72" w:rsidRDefault="00C56F72">
            <w:pPr>
              <w:spacing w:before="120" w:after="40"/>
              <w:jc w:val="center"/>
              <w:rPr>
                <w:rFonts w:ascii="Arial" w:eastAsia="Arial" w:hAnsi="Arial" w:cs="Arial"/>
                <w:color w:val="000000"/>
                <w:sz w:val="20"/>
                <w:lang w:val="fr-FR"/>
              </w:rPr>
            </w:pPr>
            <w:r>
              <w:rPr>
                <w:rFonts w:ascii="Arial" w:eastAsia="Arial" w:hAnsi="Arial" w:cs="Arial"/>
                <w:color w:val="000000"/>
                <w:sz w:val="20"/>
                <w:lang w:val="fr-FR"/>
              </w:rPr>
              <w:t>79311000-7</w:t>
            </w:r>
          </w:p>
        </w:tc>
        <w:tc>
          <w:tcPr>
            <w:tcW w:w="82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56F72" w:rsidRDefault="00C56F72">
            <w:pPr>
              <w:spacing w:before="120" w:after="40"/>
              <w:ind w:left="80" w:right="80"/>
              <w:rPr>
                <w:rFonts w:ascii="Arial" w:eastAsia="Arial" w:hAnsi="Arial" w:cs="Arial"/>
                <w:color w:val="000000"/>
                <w:sz w:val="20"/>
                <w:lang w:val="fr-FR"/>
              </w:rPr>
            </w:pPr>
            <w:r>
              <w:rPr>
                <w:rFonts w:ascii="Arial" w:eastAsia="Arial" w:hAnsi="Arial" w:cs="Arial"/>
                <w:color w:val="000000"/>
                <w:sz w:val="20"/>
                <w:lang w:val="fr-FR"/>
              </w:rPr>
              <w:t>Services d'études</w:t>
            </w:r>
          </w:p>
        </w:tc>
      </w:tr>
    </w:tbl>
    <w:p w:rsidR="00C56F72" w:rsidRDefault="00C56F72" w:rsidP="00C56F72">
      <w:pPr>
        <w:pStyle w:val="Titre2"/>
        <w:ind w:left="300" w:right="20"/>
        <w:rPr>
          <w:rFonts w:eastAsia="Arial"/>
          <w:i w:val="0"/>
          <w:color w:val="000000"/>
          <w:sz w:val="24"/>
          <w:lang w:val="fr-FR"/>
        </w:rPr>
      </w:pPr>
    </w:p>
    <w:p w:rsidR="00C56F72" w:rsidRDefault="00C56F72" w:rsidP="00C56F72">
      <w:pPr>
        <w:pStyle w:val="Titre2"/>
        <w:ind w:left="300" w:right="20"/>
        <w:rPr>
          <w:rFonts w:eastAsia="Arial"/>
          <w:i w:val="0"/>
          <w:color w:val="000000"/>
          <w:sz w:val="24"/>
          <w:lang w:val="fr-FR"/>
        </w:rPr>
      </w:pPr>
      <w:bookmarkStart w:id="8" w:name="_Toc56664163"/>
      <w:r>
        <w:rPr>
          <w:rFonts w:eastAsia="Arial"/>
          <w:i w:val="0"/>
          <w:color w:val="000000"/>
          <w:sz w:val="24"/>
          <w:lang w:val="fr-FR"/>
        </w:rPr>
        <w:t>1.7 – Suivi de l’exécution du marché</w:t>
      </w:r>
      <w:bookmarkEnd w:id="8"/>
    </w:p>
    <w:p w:rsidR="00C56F72" w:rsidRDefault="00C56F72" w:rsidP="00C56F72">
      <w:pPr>
        <w:jc w:val="both"/>
        <w:rPr>
          <w:rFonts w:ascii="Arial" w:eastAsia="Arial" w:hAnsi="Arial" w:cs="Arial"/>
          <w:sz w:val="20"/>
          <w:szCs w:val="20"/>
          <w:lang w:val="fr-FR"/>
        </w:rPr>
      </w:pPr>
      <w:r w:rsidRPr="00831473">
        <w:rPr>
          <w:rFonts w:ascii="Arial" w:eastAsia="Arial" w:hAnsi="Arial" w:cs="Arial"/>
          <w:sz w:val="20"/>
          <w:szCs w:val="20"/>
          <w:lang w:val="fr-FR"/>
        </w:rPr>
        <w:t>L’attention du candidat est attirée sur le fait que dans l’hypothèse où il serait attributaire du marché. Les échanges pendant l’exécution de ce marché (de sa notification jusqu’à sa clôture comptable) se feront UNIQUEMENT par voie électronique via la plateforme de dématérialisation</w:t>
      </w:r>
      <w:r w:rsidR="00B809A3">
        <w:rPr>
          <w:rFonts w:ascii="Arial" w:eastAsia="Arial" w:hAnsi="Arial" w:cs="Arial"/>
          <w:sz w:val="20"/>
          <w:szCs w:val="20"/>
          <w:lang w:val="fr-FR"/>
        </w:rPr>
        <w:t xml:space="preserve"> : </w:t>
      </w:r>
      <w:hyperlink r:id="rId16" w:history="1">
        <w:r w:rsidR="00B809A3" w:rsidRPr="00FC072F">
          <w:rPr>
            <w:rStyle w:val="Lienhypertexte"/>
            <w:rFonts w:ascii="Arial" w:eastAsia="Arial" w:hAnsi="Arial" w:cs="Arial"/>
            <w:sz w:val="20"/>
            <w:szCs w:val="20"/>
            <w:lang w:val="fr-FR"/>
          </w:rPr>
          <w:t>www.marches-securises.fr</w:t>
        </w:r>
      </w:hyperlink>
    </w:p>
    <w:p w:rsidR="00B809A3" w:rsidRPr="00831473" w:rsidRDefault="00B809A3" w:rsidP="00C56F72">
      <w:pPr>
        <w:jc w:val="both"/>
        <w:rPr>
          <w:rFonts w:ascii="Arial" w:eastAsia="Arial" w:hAnsi="Arial" w:cs="Arial"/>
          <w:sz w:val="20"/>
          <w:szCs w:val="20"/>
          <w:lang w:val="fr-FR"/>
        </w:rPr>
      </w:pPr>
    </w:p>
    <w:p w:rsidR="00C56F72" w:rsidRPr="00831473" w:rsidRDefault="00C56F72" w:rsidP="00C56F72">
      <w:pPr>
        <w:rPr>
          <w:rFonts w:ascii="Arial" w:eastAsia="Arial" w:hAnsi="Arial" w:cs="Arial"/>
          <w:sz w:val="20"/>
          <w:szCs w:val="20"/>
          <w:lang w:val="fr-FR"/>
        </w:rPr>
      </w:pPr>
      <w:r w:rsidRPr="00831473">
        <w:rPr>
          <w:rFonts w:ascii="Arial" w:eastAsia="Arial" w:hAnsi="Arial" w:cs="Arial"/>
          <w:sz w:val="20"/>
          <w:szCs w:val="20"/>
          <w:lang w:val="fr-FR"/>
        </w:rPr>
        <w:lastRenderedPageBreak/>
        <w:t>Cette disposition sera introduite dans les pièces du marché.</w:t>
      </w:r>
    </w:p>
    <w:p w:rsidR="00C56F72" w:rsidRPr="00831473" w:rsidRDefault="00C56F72" w:rsidP="00C56F72">
      <w:pPr>
        <w:rPr>
          <w:rFonts w:ascii="Arial" w:eastAsia="Arial" w:hAnsi="Arial" w:cs="Arial"/>
          <w:sz w:val="20"/>
          <w:szCs w:val="20"/>
          <w:lang w:val="fr-FR"/>
        </w:rPr>
      </w:pPr>
      <w:r w:rsidRPr="00831473">
        <w:rPr>
          <w:rFonts w:ascii="Arial" w:eastAsia="Arial" w:hAnsi="Arial" w:cs="Arial"/>
          <w:sz w:val="20"/>
          <w:szCs w:val="20"/>
          <w:lang w:val="fr-FR"/>
        </w:rPr>
        <w:t>Le candidat attributaire prend donc l’engagement en signant son offre de respecter celle-ci.</w:t>
      </w:r>
    </w:p>
    <w:p w:rsidR="00F77556" w:rsidRDefault="00F77556">
      <w:pPr>
        <w:rPr>
          <w:lang w:val="fr-FR"/>
        </w:rPr>
      </w:pPr>
    </w:p>
    <w:p w:rsidR="00F77556" w:rsidRPr="00C56F72" w:rsidRDefault="00F77556">
      <w:pPr>
        <w:spacing w:line="20" w:lineRule="exact"/>
        <w:rPr>
          <w:sz w:val="2"/>
          <w:lang w:val="fr-FR"/>
        </w:rPr>
      </w:pPr>
    </w:p>
    <w:p w:rsidR="00F77556" w:rsidRDefault="0022344C">
      <w:pPr>
        <w:pStyle w:val="Titre1"/>
        <w:rPr>
          <w:rFonts w:eastAsia="Arial"/>
          <w:color w:val="000000"/>
          <w:sz w:val="28"/>
          <w:lang w:val="fr-FR"/>
        </w:rPr>
      </w:pPr>
      <w:bookmarkStart w:id="9" w:name="_Toc56664164"/>
      <w:r>
        <w:rPr>
          <w:rFonts w:eastAsia="Arial"/>
          <w:color w:val="000000"/>
          <w:sz w:val="28"/>
          <w:lang w:val="fr-FR"/>
        </w:rPr>
        <w:t>2 - Conditions de la consultation</w:t>
      </w:r>
      <w:bookmarkEnd w:id="9"/>
    </w:p>
    <w:p w:rsidR="00F77556" w:rsidRDefault="0022344C">
      <w:pPr>
        <w:pStyle w:val="Titre2"/>
        <w:ind w:left="300" w:right="20"/>
        <w:rPr>
          <w:rFonts w:eastAsia="Arial"/>
          <w:i w:val="0"/>
          <w:color w:val="000000"/>
          <w:sz w:val="24"/>
          <w:lang w:val="fr-FR"/>
        </w:rPr>
      </w:pPr>
      <w:bookmarkStart w:id="10" w:name="_Toc56664165"/>
      <w:r>
        <w:rPr>
          <w:rFonts w:eastAsia="Arial"/>
          <w:i w:val="0"/>
          <w:color w:val="000000"/>
          <w:sz w:val="24"/>
          <w:lang w:val="fr-FR"/>
        </w:rPr>
        <w:t>2.1 - Délai de validité des offres</w:t>
      </w:r>
      <w:bookmarkEnd w:id="10"/>
    </w:p>
    <w:p w:rsidR="00F77556" w:rsidRDefault="0022344C">
      <w:pPr>
        <w:pStyle w:val="ParagrapheIndent2"/>
        <w:spacing w:after="240"/>
        <w:ind w:left="20" w:right="20"/>
        <w:jc w:val="both"/>
        <w:rPr>
          <w:color w:val="000000"/>
          <w:lang w:val="fr-FR"/>
        </w:rPr>
      </w:pPr>
      <w:r>
        <w:rPr>
          <w:color w:val="000000"/>
          <w:lang w:val="fr-FR"/>
        </w:rPr>
        <w:t xml:space="preserve">Le délai de validité des offres est fixé </w:t>
      </w:r>
      <w:r w:rsidRPr="006E2212">
        <w:rPr>
          <w:color w:val="000000"/>
          <w:lang w:val="fr-FR"/>
        </w:rPr>
        <w:t>à 6 mois</w:t>
      </w:r>
      <w:r>
        <w:rPr>
          <w:color w:val="000000"/>
          <w:lang w:val="fr-FR"/>
        </w:rPr>
        <w:t xml:space="preserve"> à compter de la date limite de réception des offres.</w:t>
      </w:r>
    </w:p>
    <w:p w:rsidR="00F77556" w:rsidRDefault="0022344C">
      <w:pPr>
        <w:pStyle w:val="Titre2"/>
        <w:ind w:left="300" w:right="20"/>
        <w:rPr>
          <w:rFonts w:eastAsia="Arial"/>
          <w:i w:val="0"/>
          <w:color w:val="000000"/>
          <w:sz w:val="24"/>
          <w:lang w:val="fr-FR"/>
        </w:rPr>
      </w:pPr>
      <w:bookmarkStart w:id="11" w:name="_Toc56664166"/>
      <w:r>
        <w:rPr>
          <w:rFonts w:eastAsia="Arial"/>
          <w:i w:val="0"/>
          <w:color w:val="000000"/>
          <w:sz w:val="24"/>
          <w:lang w:val="fr-FR"/>
        </w:rPr>
        <w:t>2.2 - Forme juridique du groupement</w:t>
      </w:r>
      <w:bookmarkEnd w:id="11"/>
    </w:p>
    <w:p w:rsidR="00F77556" w:rsidRDefault="0022344C">
      <w:pPr>
        <w:pStyle w:val="ParagrapheIndent2"/>
        <w:spacing w:after="240"/>
        <w:ind w:left="20" w:right="20"/>
        <w:jc w:val="both"/>
        <w:rPr>
          <w:color w:val="000000"/>
          <w:lang w:val="fr-FR"/>
        </w:rPr>
      </w:pPr>
      <w:r>
        <w:rPr>
          <w:color w:val="000000"/>
          <w:lang w:val="fr-FR"/>
        </w:rPr>
        <w:t>Le pouvoir adjudicateur ne souhaite imposer aucune forme de groupement à l'attributaire de l'accord-cadre.</w:t>
      </w:r>
    </w:p>
    <w:p w:rsidR="00F77556" w:rsidRDefault="0022344C">
      <w:pPr>
        <w:pStyle w:val="Titre2"/>
        <w:ind w:left="300" w:right="20"/>
        <w:rPr>
          <w:rFonts w:eastAsia="Arial"/>
          <w:i w:val="0"/>
          <w:color w:val="000000"/>
          <w:sz w:val="24"/>
          <w:lang w:val="fr-FR"/>
        </w:rPr>
      </w:pPr>
      <w:bookmarkStart w:id="12" w:name="_Toc56664167"/>
      <w:r>
        <w:rPr>
          <w:rFonts w:eastAsia="Arial"/>
          <w:i w:val="0"/>
          <w:color w:val="000000"/>
          <w:sz w:val="24"/>
          <w:lang w:val="fr-FR"/>
        </w:rPr>
        <w:t>2.3 - Variantes</w:t>
      </w:r>
      <w:bookmarkEnd w:id="12"/>
    </w:p>
    <w:p w:rsidR="00F77556" w:rsidRDefault="0022344C">
      <w:pPr>
        <w:pStyle w:val="ParagrapheIndent2"/>
        <w:spacing w:after="240"/>
        <w:ind w:left="20" w:right="20"/>
        <w:jc w:val="both"/>
        <w:rPr>
          <w:color w:val="000000"/>
          <w:lang w:val="fr-FR"/>
        </w:rPr>
      </w:pPr>
      <w:r>
        <w:rPr>
          <w:color w:val="000000"/>
          <w:lang w:val="fr-FR"/>
        </w:rPr>
        <w:t>Aucune variante n'est autorisée.</w:t>
      </w:r>
    </w:p>
    <w:p w:rsidR="00F77556" w:rsidRDefault="0022344C">
      <w:pPr>
        <w:pStyle w:val="Titre1"/>
        <w:rPr>
          <w:rFonts w:eastAsia="Arial"/>
          <w:color w:val="000000"/>
          <w:sz w:val="28"/>
          <w:lang w:val="fr-FR"/>
        </w:rPr>
      </w:pPr>
      <w:bookmarkStart w:id="13" w:name="_Toc56664168"/>
      <w:r>
        <w:rPr>
          <w:rFonts w:eastAsia="Arial"/>
          <w:color w:val="000000"/>
          <w:sz w:val="28"/>
          <w:lang w:val="fr-FR"/>
        </w:rPr>
        <w:t>3 - Conditions relatives au contrat</w:t>
      </w:r>
      <w:bookmarkEnd w:id="13"/>
    </w:p>
    <w:p w:rsidR="00F77556" w:rsidRDefault="0022344C">
      <w:pPr>
        <w:pStyle w:val="Titre2"/>
        <w:ind w:left="300" w:right="20"/>
        <w:rPr>
          <w:rFonts w:eastAsia="Arial"/>
          <w:i w:val="0"/>
          <w:color w:val="000000"/>
          <w:sz w:val="24"/>
          <w:lang w:val="fr-FR"/>
        </w:rPr>
      </w:pPr>
      <w:bookmarkStart w:id="14" w:name="_Toc56664169"/>
      <w:r>
        <w:rPr>
          <w:rFonts w:eastAsia="Arial"/>
          <w:i w:val="0"/>
          <w:color w:val="000000"/>
          <w:sz w:val="24"/>
          <w:lang w:val="fr-FR"/>
        </w:rPr>
        <w:t>3.1 - Durée du contrat ou délai d'exécution</w:t>
      </w:r>
      <w:bookmarkEnd w:id="14"/>
    </w:p>
    <w:p w:rsidR="00455CA0" w:rsidRPr="00C844E9" w:rsidRDefault="00455CA0" w:rsidP="00455CA0">
      <w:pPr>
        <w:pStyle w:val="ParagrapheIndent2"/>
        <w:spacing w:after="240"/>
        <w:ind w:left="20" w:right="20"/>
        <w:jc w:val="both"/>
        <w:rPr>
          <w:color w:val="000000"/>
          <w:lang w:val="fr-FR"/>
        </w:rPr>
      </w:pPr>
      <w:r>
        <w:rPr>
          <w:color w:val="000000"/>
          <w:lang w:val="fr-FR"/>
        </w:rPr>
        <w:t>Le présent accord-cadre est conclu pour une période de un (1), à compter de sa date de notification.</w:t>
      </w:r>
    </w:p>
    <w:p w:rsidR="00455CA0" w:rsidRPr="00831473" w:rsidRDefault="00455CA0" w:rsidP="00455CA0">
      <w:pPr>
        <w:rPr>
          <w:rFonts w:ascii="Arial" w:hAnsi="Arial" w:cs="Arial"/>
          <w:sz w:val="20"/>
          <w:szCs w:val="20"/>
          <w:lang w:val="fr-FR"/>
        </w:rPr>
      </w:pPr>
      <w:r w:rsidRPr="00831473">
        <w:rPr>
          <w:rFonts w:ascii="Arial" w:hAnsi="Arial" w:cs="Arial"/>
          <w:sz w:val="20"/>
          <w:szCs w:val="20"/>
          <w:lang w:val="fr-FR"/>
        </w:rPr>
        <w:t>Il sera reconduit de façon tacite par période de un (1). De date anniversaire à date anniversaire, sans que sa durée totale n’excède quatre (4) ans.</w:t>
      </w:r>
    </w:p>
    <w:p w:rsidR="00455CA0" w:rsidRPr="00831473" w:rsidRDefault="00455CA0" w:rsidP="00455CA0">
      <w:pPr>
        <w:rPr>
          <w:rFonts w:ascii="Arial" w:hAnsi="Arial" w:cs="Arial"/>
          <w:sz w:val="20"/>
          <w:szCs w:val="20"/>
          <w:lang w:val="fr-FR"/>
        </w:rPr>
      </w:pPr>
    </w:p>
    <w:p w:rsidR="00455CA0" w:rsidRDefault="00455CA0" w:rsidP="00455CA0">
      <w:pPr>
        <w:rPr>
          <w:rFonts w:ascii="Arial" w:hAnsi="Arial" w:cs="Arial"/>
          <w:sz w:val="20"/>
          <w:szCs w:val="20"/>
          <w:lang w:val="fr-FR"/>
        </w:rPr>
      </w:pPr>
      <w:r w:rsidRPr="00831473">
        <w:rPr>
          <w:rFonts w:ascii="Arial" w:hAnsi="Arial" w:cs="Arial"/>
          <w:sz w:val="20"/>
          <w:szCs w:val="20"/>
          <w:lang w:val="fr-FR"/>
        </w:rPr>
        <w:t>Dans l’hypothèse d’une non-reconduction, la Collectivité Territoriale de Martinique fera connaître au titulaire au moins quatre (4) mois avant la fin de la période en cours, sa décision.</w:t>
      </w:r>
    </w:p>
    <w:p w:rsidR="00455CA0" w:rsidRDefault="00455CA0">
      <w:pPr>
        <w:pStyle w:val="Titre2"/>
        <w:ind w:left="300" w:right="20"/>
        <w:rPr>
          <w:rFonts w:eastAsia="Arial"/>
          <w:i w:val="0"/>
          <w:color w:val="000000"/>
          <w:sz w:val="24"/>
          <w:lang w:val="fr-FR"/>
        </w:rPr>
      </w:pPr>
    </w:p>
    <w:p w:rsidR="00F77556" w:rsidRDefault="0022344C">
      <w:pPr>
        <w:pStyle w:val="Titre2"/>
        <w:ind w:left="300" w:right="20"/>
        <w:rPr>
          <w:rFonts w:eastAsia="Arial"/>
          <w:i w:val="0"/>
          <w:color w:val="000000"/>
          <w:sz w:val="24"/>
          <w:lang w:val="fr-FR"/>
        </w:rPr>
      </w:pPr>
      <w:bookmarkStart w:id="15" w:name="_Toc56664170"/>
      <w:r>
        <w:rPr>
          <w:rFonts w:eastAsia="Arial"/>
          <w:i w:val="0"/>
          <w:color w:val="000000"/>
          <w:sz w:val="24"/>
          <w:lang w:val="fr-FR"/>
        </w:rPr>
        <w:t>3.2 - Modalités essentielles de financement et de paiement</w:t>
      </w:r>
      <w:bookmarkEnd w:id="15"/>
    </w:p>
    <w:p w:rsidR="00F77556" w:rsidRDefault="0022344C" w:rsidP="00D76CB8">
      <w:pPr>
        <w:pStyle w:val="ParagrapheIndent2"/>
        <w:spacing w:after="240" w:line="230" w:lineRule="exact"/>
        <w:ind w:right="20"/>
        <w:jc w:val="both"/>
        <w:rPr>
          <w:color w:val="000000"/>
          <w:lang w:val="fr-FR"/>
        </w:rPr>
      </w:pPr>
      <w:r>
        <w:rPr>
          <w:color w:val="000000"/>
          <w:lang w:val="fr-FR"/>
        </w:rPr>
        <w:t>Les sommes dues au(x) titulaire(s) et au(x) sous-traitant(s) de premier rang éventuel(s) du marché seront payées dans un délai global de 30 jours à compter de la date de réception des factures ou des demandes de paiement équivalentes.</w:t>
      </w:r>
    </w:p>
    <w:p w:rsidR="00F77556" w:rsidRDefault="0022344C">
      <w:pPr>
        <w:pStyle w:val="ParagrapheIndent2"/>
        <w:spacing w:after="240" w:line="230" w:lineRule="exact"/>
        <w:ind w:left="20" w:right="20"/>
        <w:jc w:val="both"/>
        <w:rPr>
          <w:color w:val="000000"/>
          <w:lang w:val="fr-FR"/>
        </w:rPr>
      </w:pPr>
      <w:r>
        <w:rPr>
          <w:color w:val="000000"/>
          <w:lang w:val="fr-FR"/>
        </w:rPr>
        <w:t>L'attention des candidats est attirée sur le fait que s'ils veulent renoncer aux bénéfices de l'avance prévue au CCAP, ils doivent le préciser à l'acte d'engagement.</w:t>
      </w:r>
    </w:p>
    <w:p w:rsidR="00F77556" w:rsidRDefault="0022344C">
      <w:pPr>
        <w:pStyle w:val="Titre1"/>
        <w:rPr>
          <w:rFonts w:eastAsia="Arial"/>
          <w:color w:val="000000"/>
          <w:sz w:val="28"/>
          <w:lang w:val="fr-FR"/>
        </w:rPr>
      </w:pPr>
      <w:bookmarkStart w:id="16" w:name="_Toc56664171"/>
      <w:r>
        <w:rPr>
          <w:rFonts w:eastAsia="Arial"/>
          <w:color w:val="000000"/>
          <w:sz w:val="28"/>
          <w:lang w:val="fr-FR"/>
        </w:rPr>
        <w:t>4 - Contenu du dossier de consultation</w:t>
      </w:r>
      <w:bookmarkEnd w:id="16"/>
    </w:p>
    <w:p w:rsidR="00F77556" w:rsidRDefault="0022344C">
      <w:pPr>
        <w:pStyle w:val="ParagrapheIndent1"/>
        <w:spacing w:line="230" w:lineRule="exact"/>
        <w:ind w:left="20" w:right="20"/>
        <w:jc w:val="both"/>
        <w:rPr>
          <w:color w:val="000000"/>
          <w:lang w:val="fr-FR"/>
        </w:rPr>
      </w:pPr>
      <w:r>
        <w:rPr>
          <w:color w:val="000000"/>
          <w:lang w:val="fr-FR"/>
        </w:rPr>
        <w:t>Le dossier de consultation des entreprises (DCE) contient les pièces suivantes :</w:t>
      </w:r>
    </w:p>
    <w:p w:rsidR="00455CA0" w:rsidRPr="00455CA0" w:rsidRDefault="00455CA0" w:rsidP="00455CA0">
      <w:pPr>
        <w:rPr>
          <w:lang w:val="fr-FR"/>
        </w:rPr>
      </w:pPr>
    </w:p>
    <w:p w:rsidR="00455CA0" w:rsidRDefault="00455CA0" w:rsidP="00455CA0">
      <w:pPr>
        <w:ind w:left="420" w:right="12"/>
        <w:rPr>
          <w:rFonts w:ascii="Arial" w:eastAsia="Arial" w:hAnsi="Arial" w:cs="Arial"/>
          <w:color w:val="000000"/>
          <w:sz w:val="20"/>
          <w:lang w:val="fr-FR"/>
        </w:rPr>
      </w:pPr>
      <w:r>
        <w:rPr>
          <w:rFonts w:ascii="Arial" w:eastAsia="Arial" w:hAnsi="Arial" w:cs="Arial"/>
          <w:color w:val="000000"/>
          <w:sz w:val="20"/>
          <w:lang w:val="fr-FR"/>
        </w:rPr>
        <w:t>- Le règlement de la consultation (RC)</w:t>
      </w:r>
    </w:p>
    <w:p w:rsidR="00455CA0" w:rsidRDefault="00455CA0" w:rsidP="00455CA0">
      <w:pPr>
        <w:ind w:left="420" w:right="12"/>
        <w:rPr>
          <w:rFonts w:ascii="Arial" w:eastAsia="Arial" w:hAnsi="Arial" w:cs="Arial"/>
          <w:color w:val="000000"/>
          <w:sz w:val="20"/>
          <w:lang w:val="fr-FR"/>
        </w:rPr>
      </w:pPr>
      <w:r>
        <w:rPr>
          <w:rFonts w:ascii="Arial" w:eastAsia="Arial" w:hAnsi="Arial" w:cs="Arial"/>
          <w:color w:val="000000"/>
          <w:sz w:val="20"/>
          <w:lang w:val="fr-FR"/>
        </w:rPr>
        <w:t>- L'acte d'engagement (AE) et ses annexes (ANNEX)</w:t>
      </w:r>
    </w:p>
    <w:p w:rsidR="00455CA0" w:rsidRDefault="00455CA0" w:rsidP="00455CA0">
      <w:pPr>
        <w:ind w:left="420" w:right="12"/>
        <w:rPr>
          <w:rFonts w:ascii="Arial" w:eastAsia="Arial" w:hAnsi="Arial" w:cs="Arial"/>
          <w:color w:val="000000"/>
          <w:sz w:val="20"/>
          <w:lang w:val="fr-FR"/>
        </w:rPr>
      </w:pPr>
      <w:r>
        <w:rPr>
          <w:rFonts w:ascii="Arial" w:eastAsia="Arial" w:hAnsi="Arial" w:cs="Arial"/>
          <w:color w:val="000000"/>
          <w:sz w:val="20"/>
          <w:lang w:val="fr-FR"/>
        </w:rPr>
        <w:t>- Le cahier des clauses administratives particulières (CCAP)</w:t>
      </w:r>
    </w:p>
    <w:p w:rsidR="00455CA0" w:rsidRDefault="00455CA0" w:rsidP="00455CA0">
      <w:pPr>
        <w:ind w:left="420" w:right="12"/>
        <w:rPr>
          <w:rFonts w:ascii="Arial" w:eastAsia="Arial" w:hAnsi="Arial" w:cs="Arial"/>
          <w:color w:val="000000"/>
          <w:sz w:val="20"/>
          <w:lang w:val="fr-FR"/>
        </w:rPr>
      </w:pPr>
      <w:r>
        <w:rPr>
          <w:rFonts w:ascii="Arial" w:eastAsia="Arial" w:hAnsi="Arial" w:cs="Arial"/>
          <w:color w:val="000000"/>
          <w:sz w:val="20"/>
          <w:lang w:val="fr-FR"/>
        </w:rPr>
        <w:t>- Le cahier des clauses techniques particulières (CCTP) et ses annexes (ANNEX)</w:t>
      </w:r>
    </w:p>
    <w:p w:rsidR="00455CA0" w:rsidRDefault="00455CA0" w:rsidP="00455CA0">
      <w:pPr>
        <w:ind w:left="420" w:right="12"/>
        <w:rPr>
          <w:rFonts w:ascii="Arial" w:eastAsia="Arial" w:hAnsi="Arial" w:cs="Arial"/>
          <w:color w:val="000000"/>
          <w:sz w:val="20"/>
          <w:lang w:val="fr-FR"/>
        </w:rPr>
      </w:pPr>
      <w:r>
        <w:rPr>
          <w:rFonts w:ascii="Arial" w:eastAsia="Arial" w:hAnsi="Arial" w:cs="Arial"/>
          <w:color w:val="000000"/>
          <w:sz w:val="20"/>
          <w:lang w:val="fr-FR"/>
        </w:rPr>
        <w:t>- Le bordereau des prix unitaires (BPU)</w:t>
      </w:r>
    </w:p>
    <w:p w:rsidR="00455CA0" w:rsidRDefault="00455CA0" w:rsidP="00455CA0">
      <w:pPr>
        <w:spacing w:after="340"/>
        <w:ind w:left="420" w:right="12"/>
        <w:rPr>
          <w:rFonts w:ascii="Arial" w:eastAsia="Arial" w:hAnsi="Arial" w:cs="Arial"/>
          <w:color w:val="000000"/>
          <w:sz w:val="20"/>
          <w:lang w:val="fr-FR"/>
        </w:rPr>
      </w:pPr>
      <w:r>
        <w:rPr>
          <w:rFonts w:ascii="Arial" w:eastAsia="Arial" w:hAnsi="Arial" w:cs="Arial"/>
          <w:color w:val="000000"/>
          <w:sz w:val="20"/>
          <w:lang w:val="fr-FR"/>
        </w:rPr>
        <w:t>- Le détail quantitatif estimatif (DQE)</w:t>
      </w:r>
    </w:p>
    <w:p w:rsidR="00455CA0" w:rsidRDefault="00455CA0" w:rsidP="00455CA0">
      <w:pPr>
        <w:pStyle w:val="ParagrapheIndent1"/>
        <w:spacing w:after="240"/>
        <w:ind w:left="20" w:right="20"/>
        <w:jc w:val="both"/>
        <w:rPr>
          <w:color w:val="000000"/>
          <w:lang w:val="fr-FR"/>
        </w:rPr>
      </w:pPr>
      <w:r>
        <w:rPr>
          <w:color w:val="000000"/>
          <w:lang w:val="fr-FR"/>
        </w:rPr>
        <w:t xml:space="preserve">Le dossier de consultation des entreprises est disponible à l’adresse électronique suivante : </w:t>
      </w:r>
      <w:hyperlink r:id="rId17" w:history="1">
        <w:r w:rsidR="00B809A3" w:rsidRPr="00FC072F">
          <w:rPr>
            <w:rStyle w:val="Lienhypertexte"/>
            <w:lang w:val="fr-FR"/>
          </w:rPr>
          <w:t>https://www.marches-securises.fr</w:t>
        </w:r>
      </w:hyperlink>
    </w:p>
    <w:p w:rsidR="00455CA0" w:rsidRDefault="00455CA0" w:rsidP="00455CA0">
      <w:pPr>
        <w:pStyle w:val="ParagrapheIndent1"/>
        <w:spacing w:after="240"/>
        <w:ind w:left="20" w:right="20"/>
        <w:jc w:val="both"/>
        <w:rPr>
          <w:color w:val="000000"/>
          <w:lang w:val="fr-FR"/>
        </w:rPr>
      </w:pPr>
      <w:r>
        <w:rPr>
          <w:color w:val="000000"/>
          <w:lang w:val="fr-FR"/>
        </w:rPr>
        <w:t>Aucune demande d'envoi du DCE sur support physique électronique n'est autorisée.</w:t>
      </w:r>
    </w:p>
    <w:p w:rsidR="00455CA0" w:rsidRDefault="00455CA0" w:rsidP="00455CA0">
      <w:pPr>
        <w:pStyle w:val="ParagrapheIndent1"/>
        <w:spacing w:line="230" w:lineRule="exact"/>
        <w:ind w:left="20" w:right="20"/>
        <w:jc w:val="both"/>
        <w:rPr>
          <w:color w:val="000000"/>
          <w:lang w:val="fr-FR"/>
        </w:rPr>
      </w:pPr>
      <w:r>
        <w:rPr>
          <w:color w:val="000000"/>
          <w:lang w:val="fr-FR"/>
        </w:rPr>
        <w:t>L’acheteur public se réserve le droit d'apporter des modifications de détail au dossier de consultation au plus tard 6 jours avant la date limite fixée pour la réception des offres. Ce délai est décompté à partir de la date d'envoi par l’acheteur public des modifications aux candidats ayant retiré le dossier initial. Les candidats devront alors répondre sur la base du dossier modifié sans pouvoir n'élever aucune réclamation à ce sujet.</w:t>
      </w:r>
    </w:p>
    <w:p w:rsidR="00455CA0" w:rsidRDefault="00455CA0" w:rsidP="00455CA0">
      <w:pPr>
        <w:pStyle w:val="ParagrapheIndent1"/>
        <w:spacing w:line="230" w:lineRule="exact"/>
        <w:ind w:left="20" w:right="20"/>
        <w:jc w:val="both"/>
        <w:rPr>
          <w:color w:val="000000"/>
          <w:lang w:val="fr-FR"/>
        </w:rPr>
      </w:pPr>
    </w:p>
    <w:p w:rsidR="00455CA0" w:rsidRDefault="00455CA0" w:rsidP="00455CA0">
      <w:pPr>
        <w:pStyle w:val="ParagrapheIndent1"/>
        <w:spacing w:after="240" w:line="230" w:lineRule="exact"/>
        <w:ind w:left="20" w:right="20"/>
        <w:jc w:val="both"/>
        <w:rPr>
          <w:color w:val="000000"/>
          <w:lang w:val="fr-FR"/>
        </w:rPr>
      </w:pPr>
      <w:r>
        <w:rPr>
          <w:color w:val="000000"/>
          <w:lang w:val="fr-FR"/>
        </w:rPr>
        <w:lastRenderedPageBreak/>
        <w:t>Si, pendant l'étude du dossier par les candidats, la date limite de réception des offres est reportée, la disposition précédente est applicable en fonction de cette nouvelle date.</w:t>
      </w:r>
    </w:p>
    <w:p w:rsidR="00455CA0" w:rsidRPr="00455CA0" w:rsidRDefault="00455CA0" w:rsidP="00455CA0">
      <w:pPr>
        <w:rPr>
          <w:lang w:val="fr-FR"/>
        </w:rPr>
      </w:pPr>
    </w:p>
    <w:p w:rsidR="00F77556" w:rsidRDefault="00F77556">
      <w:pPr>
        <w:pStyle w:val="ParagrapheIndent1"/>
        <w:spacing w:line="230" w:lineRule="exact"/>
        <w:ind w:left="20" w:right="20"/>
        <w:jc w:val="both"/>
        <w:rPr>
          <w:color w:val="000000"/>
          <w:lang w:val="fr-FR"/>
        </w:rPr>
      </w:pPr>
    </w:p>
    <w:p w:rsidR="00F77556" w:rsidRPr="00C56F72" w:rsidRDefault="00F77556">
      <w:pPr>
        <w:spacing w:line="20" w:lineRule="exact"/>
        <w:rPr>
          <w:sz w:val="2"/>
          <w:lang w:val="fr-FR"/>
        </w:rPr>
      </w:pPr>
    </w:p>
    <w:p w:rsidR="00F77556" w:rsidRDefault="0022344C">
      <w:pPr>
        <w:pStyle w:val="Titre1"/>
        <w:rPr>
          <w:rFonts w:eastAsia="Arial"/>
          <w:color w:val="000000"/>
          <w:sz w:val="28"/>
          <w:lang w:val="fr-FR"/>
        </w:rPr>
      </w:pPr>
      <w:bookmarkStart w:id="17" w:name="_Toc56664172"/>
      <w:r>
        <w:rPr>
          <w:rFonts w:eastAsia="Arial"/>
          <w:color w:val="000000"/>
          <w:sz w:val="28"/>
          <w:lang w:val="fr-FR"/>
        </w:rPr>
        <w:t>5 - Présentation des candidatures et des offres</w:t>
      </w:r>
      <w:bookmarkEnd w:id="17"/>
    </w:p>
    <w:p w:rsidR="00F77556" w:rsidRDefault="0022344C">
      <w:pPr>
        <w:pStyle w:val="ParagrapheIndent1"/>
        <w:spacing w:after="240" w:line="230"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 précédente consultation et qui demeurent valables.</w:t>
      </w:r>
    </w:p>
    <w:p w:rsidR="00F77556" w:rsidRDefault="0022344C">
      <w:pPr>
        <w:pStyle w:val="ParagrapheIndent1"/>
        <w:spacing w:line="230" w:lineRule="exact"/>
        <w:ind w:left="20" w:right="20"/>
        <w:jc w:val="both"/>
        <w:rPr>
          <w:color w:val="000000"/>
          <w:lang w:val="fr-FR"/>
        </w:rPr>
      </w:pPr>
      <w:r>
        <w:rPr>
          <w:color w:val="000000"/>
          <w:lang w:val="fr-FR"/>
        </w:rPr>
        <w:t>Les offres des candidats seront entièrement rédigées en langue française et exprimées en EURO.</w:t>
      </w:r>
    </w:p>
    <w:p w:rsidR="00F77556" w:rsidRDefault="0022344C">
      <w:pPr>
        <w:pStyle w:val="ParagrapheIndent1"/>
        <w:spacing w:after="240" w:line="230" w:lineRule="exact"/>
        <w:ind w:left="20" w:right="20"/>
        <w:jc w:val="both"/>
        <w:rPr>
          <w:color w:val="000000"/>
          <w:lang w:val="fr-FR"/>
        </w:rPr>
      </w:pPr>
      <w:r>
        <w:rPr>
          <w:color w:val="000000"/>
          <w:lang w:val="fr-FR"/>
        </w:rPr>
        <w:t>Si les offres des candidats sont rédigées dans une autre langue, elles doivent être accompagnées d'une traduction en français, cette traduction doit concerner l'ensemble des documents remis dans l'offre.</w:t>
      </w:r>
    </w:p>
    <w:p w:rsidR="00F77556" w:rsidRDefault="0022344C">
      <w:pPr>
        <w:pStyle w:val="Titre2"/>
        <w:ind w:left="300" w:right="20"/>
        <w:rPr>
          <w:rFonts w:eastAsia="Arial"/>
          <w:i w:val="0"/>
          <w:color w:val="000000"/>
          <w:sz w:val="24"/>
          <w:lang w:val="fr-FR"/>
        </w:rPr>
      </w:pPr>
      <w:bookmarkStart w:id="18" w:name="_Toc56664173"/>
      <w:r>
        <w:rPr>
          <w:rFonts w:eastAsia="Arial"/>
          <w:i w:val="0"/>
          <w:color w:val="000000"/>
          <w:sz w:val="24"/>
          <w:lang w:val="fr-FR"/>
        </w:rPr>
        <w:t>5.1 - Documents à produire</w:t>
      </w:r>
      <w:bookmarkEnd w:id="18"/>
    </w:p>
    <w:p w:rsidR="00F77556" w:rsidRDefault="0022344C">
      <w:pPr>
        <w:pStyle w:val="ParagrapheIndent2"/>
        <w:spacing w:line="230" w:lineRule="exact"/>
        <w:ind w:left="20" w:right="20"/>
        <w:jc w:val="both"/>
        <w:rPr>
          <w:color w:val="000000"/>
          <w:lang w:val="fr-FR"/>
        </w:rPr>
      </w:pPr>
      <w:r>
        <w:rPr>
          <w:color w:val="000000"/>
          <w:lang w:val="fr-FR"/>
        </w:rPr>
        <w:t>Chaque candidat aura à produire un dossier complet comprenant les pièces suivantes :</w:t>
      </w:r>
    </w:p>
    <w:p w:rsidR="00F77556" w:rsidRDefault="00F77556">
      <w:pPr>
        <w:pStyle w:val="ParagrapheIndent2"/>
        <w:spacing w:line="230" w:lineRule="exact"/>
        <w:ind w:left="20" w:right="20"/>
        <w:jc w:val="both"/>
        <w:rPr>
          <w:color w:val="000000"/>
          <w:lang w:val="fr-FR"/>
        </w:rPr>
      </w:pPr>
    </w:p>
    <w:p w:rsidR="00F77556" w:rsidRDefault="0022344C">
      <w:pPr>
        <w:pStyle w:val="ParagrapheIndent2"/>
        <w:spacing w:line="230" w:lineRule="exact"/>
        <w:ind w:left="20" w:right="20"/>
        <w:jc w:val="both"/>
        <w:rPr>
          <w:color w:val="000000"/>
          <w:lang w:val="fr-FR"/>
        </w:rPr>
      </w:pPr>
      <w:r>
        <w:rPr>
          <w:color w:val="000000"/>
          <w:lang w:val="fr-FR"/>
        </w:rPr>
        <w:t>Pièces de la candidature telles que prévues aux articles L. 2142-1, R. 2142-3, R. 2142-4, R. 2143-3 et R. 2143-4 du Code de la commande publique :</w:t>
      </w:r>
    </w:p>
    <w:p w:rsidR="00F77556" w:rsidRDefault="00F77556">
      <w:pPr>
        <w:pStyle w:val="ParagrapheIndent2"/>
        <w:spacing w:line="230" w:lineRule="exact"/>
        <w:ind w:left="20" w:right="20"/>
        <w:jc w:val="both"/>
        <w:rPr>
          <w:color w:val="000000"/>
          <w:lang w:val="fr-FR"/>
        </w:rPr>
      </w:pPr>
    </w:p>
    <w:p w:rsidR="00F77556" w:rsidRDefault="0022344C">
      <w:pPr>
        <w:pStyle w:val="ParagrapheIndent2"/>
        <w:spacing w:line="230" w:lineRule="exact"/>
        <w:ind w:left="20" w:right="20"/>
        <w:jc w:val="both"/>
        <w:rPr>
          <w:color w:val="000000"/>
          <w:lang w:val="fr-FR"/>
        </w:rPr>
      </w:pPr>
      <w:r>
        <w:rPr>
          <w:color w:val="000000"/>
          <w:lang w:val="fr-FR"/>
        </w:rPr>
        <w:t>Renseignements concernant la situation juridique de l'entreprise :</w:t>
      </w:r>
    </w:p>
    <w:p w:rsidR="00F77556" w:rsidRDefault="00F77556">
      <w:pPr>
        <w:pStyle w:val="ParagrapheIndent2"/>
        <w:spacing w:line="230"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9481"/>
      </w:tblGrid>
      <w:tr w:rsidR="00455CA0" w:rsidTr="00455CA0">
        <w:trPr>
          <w:trHeight w:val="306"/>
        </w:trPr>
        <w:tc>
          <w:tcPr>
            <w:tcW w:w="9481"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55CA0" w:rsidRDefault="00455CA0">
            <w:pPr>
              <w:spacing w:before="80" w:after="20"/>
              <w:jc w:val="center"/>
              <w:rPr>
                <w:rFonts w:ascii="Arial" w:eastAsia="Arial" w:hAnsi="Arial" w:cs="Arial"/>
                <w:color w:val="000000"/>
                <w:sz w:val="20"/>
                <w:lang w:val="fr-FR"/>
              </w:rPr>
            </w:pPr>
            <w:r>
              <w:rPr>
                <w:rFonts w:ascii="Arial" w:eastAsia="Arial" w:hAnsi="Arial" w:cs="Arial"/>
                <w:color w:val="000000"/>
                <w:sz w:val="20"/>
                <w:lang w:val="fr-FR"/>
              </w:rPr>
              <w:t>Libellés</w:t>
            </w:r>
          </w:p>
        </w:tc>
      </w:tr>
      <w:tr w:rsidR="00455CA0" w:rsidRPr="00F857EF" w:rsidTr="00455CA0">
        <w:trPr>
          <w:trHeight w:val="396"/>
        </w:trPr>
        <w:tc>
          <w:tcPr>
            <w:tcW w:w="94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line="230" w:lineRule="exact"/>
              <w:ind w:left="80" w:right="80"/>
              <w:rPr>
                <w:rFonts w:ascii="Arial" w:eastAsia="Arial" w:hAnsi="Arial" w:cs="Arial"/>
                <w:color w:val="000000"/>
                <w:sz w:val="20"/>
                <w:lang w:val="fr-FR"/>
              </w:rPr>
            </w:pPr>
            <w:r>
              <w:rPr>
                <w:rFonts w:ascii="Arial" w:eastAsia="Arial" w:hAnsi="Arial" w:cs="Arial"/>
                <w:color w:val="000000"/>
                <w:sz w:val="20"/>
                <w:lang w:val="fr-FR"/>
              </w:rPr>
              <w:t>Déclaration sur l'honneur pour justifier que le candidat n'entre dans aucun des cas d'interdiction de soumissionner</w:t>
            </w:r>
          </w:p>
        </w:tc>
      </w:tr>
      <w:tr w:rsidR="00455CA0" w:rsidRPr="00F857EF" w:rsidTr="00455CA0">
        <w:trPr>
          <w:trHeight w:val="396"/>
        </w:trPr>
        <w:tc>
          <w:tcPr>
            <w:tcW w:w="94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line="230" w:lineRule="exact"/>
              <w:ind w:left="80" w:right="80"/>
              <w:rPr>
                <w:rFonts w:ascii="Arial" w:eastAsia="Arial" w:hAnsi="Arial" w:cs="Arial"/>
                <w:color w:val="000000"/>
                <w:sz w:val="20"/>
                <w:lang w:val="fr-FR"/>
              </w:rPr>
            </w:pPr>
            <w:r>
              <w:rPr>
                <w:rFonts w:ascii="Arial" w:eastAsia="Arial" w:hAnsi="Arial" w:cs="Arial"/>
                <w:color w:val="000000"/>
                <w:sz w:val="20"/>
                <w:lang w:val="fr-FR"/>
              </w:rPr>
              <w:t>Renseignements sur le respect de l'obligation d'emploi mentionnée aux articles L. 5212-1 à L. 5212-11 du Code du travail</w:t>
            </w:r>
          </w:p>
        </w:tc>
      </w:tr>
    </w:tbl>
    <w:p w:rsidR="00F77556" w:rsidRPr="00455CA0" w:rsidRDefault="0022344C">
      <w:pPr>
        <w:spacing w:line="240" w:lineRule="exact"/>
        <w:rPr>
          <w:lang w:val="fr-FR"/>
        </w:rPr>
      </w:pPr>
      <w:r w:rsidRPr="00455CA0">
        <w:rPr>
          <w:lang w:val="fr-FR"/>
        </w:rPr>
        <w:t xml:space="preserve"> </w:t>
      </w:r>
    </w:p>
    <w:p w:rsidR="00F77556" w:rsidRPr="00455CA0" w:rsidRDefault="00F77556">
      <w:pPr>
        <w:spacing w:after="80" w:line="240" w:lineRule="exact"/>
        <w:rPr>
          <w:lang w:val="fr-FR"/>
        </w:rPr>
      </w:pPr>
    </w:p>
    <w:p w:rsidR="00F77556" w:rsidRDefault="0022344C">
      <w:pPr>
        <w:pStyle w:val="ParagrapheIndent2"/>
        <w:spacing w:line="230" w:lineRule="exact"/>
        <w:ind w:left="20" w:right="20"/>
        <w:jc w:val="both"/>
        <w:rPr>
          <w:color w:val="000000"/>
          <w:lang w:val="fr-FR"/>
        </w:rPr>
      </w:pPr>
      <w:r>
        <w:rPr>
          <w:color w:val="000000"/>
          <w:lang w:val="fr-FR"/>
        </w:rPr>
        <w:t>Renseignements concernant la capacité économique et financière de l'entreprise :</w:t>
      </w:r>
    </w:p>
    <w:p w:rsidR="00F77556" w:rsidRDefault="00F77556">
      <w:pPr>
        <w:pStyle w:val="ParagrapheIndent2"/>
        <w:spacing w:line="230"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9481"/>
      </w:tblGrid>
      <w:tr w:rsidR="00455CA0" w:rsidTr="00455CA0">
        <w:trPr>
          <w:trHeight w:val="306"/>
        </w:trPr>
        <w:tc>
          <w:tcPr>
            <w:tcW w:w="9481"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55CA0" w:rsidRDefault="00455CA0">
            <w:pPr>
              <w:spacing w:before="80" w:after="20"/>
              <w:jc w:val="center"/>
              <w:rPr>
                <w:rFonts w:ascii="Arial" w:eastAsia="Arial" w:hAnsi="Arial" w:cs="Arial"/>
                <w:color w:val="000000"/>
                <w:sz w:val="20"/>
                <w:lang w:val="fr-FR"/>
              </w:rPr>
            </w:pPr>
            <w:r>
              <w:rPr>
                <w:rFonts w:ascii="Arial" w:eastAsia="Arial" w:hAnsi="Arial" w:cs="Arial"/>
                <w:color w:val="000000"/>
                <w:sz w:val="20"/>
                <w:lang w:val="fr-FR"/>
              </w:rPr>
              <w:t>Libellés</w:t>
            </w:r>
          </w:p>
        </w:tc>
      </w:tr>
      <w:tr w:rsidR="00455CA0" w:rsidRPr="00F857EF" w:rsidTr="00455CA0">
        <w:trPr>
          <w:trHeight w:val="612"/>
        </w:trPr>
        <w:tc>
          <w:tcPr>
            <w:tcW w:w="94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line="230" w:lineRule="exact"/>
              <w:ind w:left="80" w:right="80"/>
              <w:rPr>
                <w:rFonts w:ascii="Arial" w:eastAsia="Arial" w:hAnsi="Arial" w:cs="Arial"/>
                <w:color w:val="000000"/>
                <w:sz w:val="20"/>
                <w:lang w:val="fr-FR"/>
              </w:rPr>
            </w:pPr>
            <w:r>
              <w:rPr>
                <w:rFonts w:ascii="Arial" w:eastAsia="Arial" w:hAnsi="Arial" w:cs="Arial"/>
                <w:color w:val="000000"/>
                <w:sz w:val="20"/>
                <w:lang w:val="fr-FR"/>
              </w:rPr>
              <w:t>Déclaration concernant le chiffre d'affaires global et le chiffre d'affaires concernant les prestations objet du contrat, réalisées au cours des trois derniers exercices disponibles</w:t>
            </w:r>
          </w:p>
        </w:tc>
      </w:tr>
    </w:tbl>
    <w:p w:rsidR="00F77556" w:rsidRPr="00455CA0" w:rsidRDefault="0022344C">
      <w:pPr>
        <w:spacing w:line="240" w:lineRule="exact"/>
        <w:rPr>
          <w:lang w:val="fr-FR"/>
        </w:rPr>
      </w:pPr>
      <w:r w:rsidRPr="00455CA0">
        <w:rPr>
          <w:lang w:val="fr-FR"/>
        </w:rPr>
        <w:t xml:space="preserve"> </w:t>
      </w:r>
    </w:p>
    <w:p w:rsidR="00F77556" w:rsidRPr="00455CA0" w:rsidRDefault="00F77556">
      <w:pPr>
        <w:spacing w:after="80" w:line="240" w:lineRule="exact"/>
        <w:rPr>
          <w:lang w:val="fr-FR"/>
        </w:rPr>
      </w:pPr>
    </w:p>
    <w:p w:rsidR="00F77556" w:rsidRDefault="0022344C">
      <w:pPr>
        <w:pStyle w:val="ParagrapheIndent2"/>
        <w:spacing w:line="230" w:lineRule="exact"/>
        <w:ind w:left="20" w:right="20"/>
        <w:jc w:val="both"/>
        <w:rPr>
          <w:color w:val="000000"/>
          <w:lang w:val="fr-FR"/>
        </w:rPr>
      </w:pPr>
      <w:r>
        <w:rPr>
          <w:color w:val="000000"/>
          <w:lang w:val="fr-FR"/>
        </w:rPr>
        <w:t>Renseignements concernant les références professionnelles et la capacité technique de l'entreprise :</w:t>
      </w:r>
    </w:p>
    <w:p w:rsidR="00F77556" w:rsidRDefault="00F77556">
      <w:pPr>
        <w:pStyle w:val="ParagrapheIndent2"/>
        <w:spacing w:line="230"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9481"/>
      </w:tblGrid>
      <w:tr w:rsidR="00455CA0" w:rsidTr="00455CA0">
        <w:trPr>
          <w:trHeight w:val="306"/>
        </w:trPr>
        <w:tc>
          <w:tcPr>
            <w:tcW w:w="9481"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55CA0" w:rsidRDefault="00455CA0">
            <w:pPr>
              <w:spacing w:before="80" w:after="20"/>
              <w:jc w:val="center"/>
              <w:rPr>
                <w:rFonts w:ascii="Arial" w:eastAsia="Arial" w:hAnsi="Arial" w:cs="Arial"/>
                <w:color w:val="000000"/>
                <w:sz w:val="20"/>
                <w:lang w:val="fr-FR"/>
              </w:rPr>
            </w:pPr>
            <w:r>
              <w:rPr>
                <w:rFonts w:ascii="Arial" w:eastAsia="Arial" w:hAnsi="Arial" w:cs="Arial"/>
                <w:color w:val="000000"/>
                <w:sz w:val="20"/>
                <w:lang w:val="fr-FR"/>
              </w:rPr>
              <w:t>Libellés</w:t>
            </w:r>
          </w:p>
        </w:tc>
      </w:tr>
      <w:tr w:rsidR="00455CA0" w:rsidRPr="00F857EF" w:rsidTr="00455CA0">
        <w:trPr>
          <w:trHeight w:val="612"/>
        </w:trPr>
        <w:tc>
          <w:tcPr>
            <w:tcW w:w="94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line="230" w:lineRule="exact"/>
              <w:ind w:left="80" w:right="80"/>
              <w:rPr>
                <w:rFonts w:ascii="Arial" w:eastAsia="Arial" w:hAnsi="Arial" w:cs="Arial"/>
                <w:color w:val="000000"/>
                <w:sz w:val="20"/>
                <w:lang w:val="fr-FR"/>
              </w:rPr>
            </w:pPr>
            <w:r>
              <w:rPr>
                <w:rFonts w:ascii="Arial" w:eastAsia="Arial" w:hAnsi="Arial" w:cs="Arial"/>
                <w:color w:val="000000"/>
                <w:sz w:val="20"/>
                <w:lang w:val="fr-FR"/>
              </w:rPr>
              <w:t>Déclaration indiquant les effectifs moyens annuels du candidat et l'importance du personnel d'encadrement pour chacune des trois dernières années</w:t>
            </w:r>
          </w:p>
        </w:tc>
      </w:tr>
      <w:tr w:rsidR="00455CA0" w:rsidRPr="00F857EF" w:rsidTr="00455CA0">
        <w:trPr>
          <w:trHeight w:val="810"/>
        </w:trPr>
        <w:tc>
          <w:tcPr>
            <w:tcW w:w="94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line="230" w:lineRule="exact"/>
              <w:ind w:left="80" w:right="80"/>
              <w:rPr>
                <w:rFonts w:ascii="Arial" w:eastAsia="Arial" w:hAnsi="Arial" w:cs="Arial"/>
                <w:color w:val="000000"/>
                <w:sz w:val="20"/>
                <w:lang w:val="fr-FR"/>
              </w:rPr>
            </w:pPr>
            <w:r>
              <w:rPr>
                <w:rFonts w:ascii="Arial" w:eastAsia="Arial" w:hAnsi="Arial" w:cs="Arial"/>
                <w:color w:val="000000"/>
                <w:sz w:val="20"/>
                <w:lang w:val="fr-FR"/>
              </w:rPr>
              <w:t>Liste des principales prestations effectuées au cours des trois dernières années, indiquant le montant, la date et le destinataire. Elles sont prouvées par des attestations du destinataire ou, à défaut, par une déclaration du candidat</w:t>
            </w:r>
          </w:p>
        </w:tc>
      </w:tr>
    </w:tbl>
    <w:p w:rsidR="00F77556" w:rsidRPr="00455CA0" w:rsidRDefault="0022344C">
      <w:pPr>
        <w:spacing w:line="240" w:lineRule="exact"/>
        <w:rPr>
          <w:lang w:val="fr-FR"/>
        </w:rPr>
      </w:pPr>
      <w:r w:rsidRPr="00455CA0">
        <w:rPr>
          <w:lang w:val="fr-FR"/>
        </w:rPr>
        <w:t xml:space="preserve"> </w:t>
      </w:r>
    </w:p>
    <w:p w:rsidR="00455CA0" w:rsidRDefault="00455CA0" w:rsidP="00455CA0">
      <w:pPr>
        <w:pStyle w:val="ParagrapheIndent2"/>
        <w:spacing w:after="240" w:line="230" w:lineRule="exact"/>
        <w:ind w:left="20" w:right="20"/>
        <w:jc w:val="both"/>
        <w:rPr>
          <w:color w:val="000000"/>
          <w:lang w:val="fr-FR"/>
        </w:rPr>
      </w:pPr>
      <w:r>
        <w:rPr>
          <w:color w:val="000000"/>
          <w:lang w:val="fr-FR"/>
        </w:rPr>
        <w:t xml:space="preserve">Pour présenter leur candidature selon les exigences précitées, </w:t>
      </w:r>
      <w:r>
        <w:rPr>
          <w:b/>
          <w:color w:val="000000"/>
          <w:lang w:val="fr-FR"/>
        </w:rPr>
        <w:t>les candidats peuvent utiliser les formulaires DC1 (lettre de candidature) et DC2 (déclaration du candidat).</w:t>
      </w:r>
      <w:r>
        <w:rPr>
          <w:color w:val="000000"/>
          <w:lang w:val="fr-FR"/>
        </w:rPr>
        <w:t xml:space="preserve"> disponibles gratuitement sur le site www.economie.gouv.fr, ou le Document Unique de Marché Européen (DUME)</w:t>
      </w:r>
    </w:p>
    <w:p w:rsidR="00455CA0" w:rsidRDefault="00455CA0" w:rsidP="00455CA0">
      <w:pPr>
        <w:pStyle w:val="ParagrapheIndent2"/>
        <w:spacing w:after="240" w:line="230" w:lineRule="exact"/>
        <w:ind w:left="20" w:right="20"/>
        <w:jc w:val="both"/>
        <w:rPr>
          <w:color w:val="000000"/>
          <w:lang w:val="fr-FR"/>
        </w:rPr>
      </w:pPr>
      <w:r>
        <w:rPr>
          <w:color w:val="000000"/>
          <w:lang w:val="fr-FR"/>
        </w:rPr>
        <w:t xml:space="preserve">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w:t>
      </w:r>
      <w:r>
        <w:rPr>
          <w:color w:val="000000"/>
          <w:lang w:val="fr-FR"/>
        </w:rPr>
        <w:lastRenderedPageBreak/>
        <w:t>dispose des capacités de cet opérateur économique pour l'exécution des prestations, le candidat produit un engagement écrit de l'opérateur économique.</w:t>
      </w:r>
    </w:p>
    <w:p w:rsidR="00F77556" w:rsidRPr="00455CA0" w:rsidRDefault="00F77556">
      <w:pPr>
        <w:spacing w:after="80" w:line="240" w:lineRule="exact"/>
        <w:rPr>
          <w:lang w:val="fr-FR"/>
        </w:rPr>
      </w:pPr>
    </w:p>
    <w:p w:rsidR="00F77556" w:rsidRPr="00C56F72" w:rsidRDefault="00F77556">
      <w:pPr>
        <w:spacing w:line="20" w:lineRule="exact"/>
        <w:rPr>
          <w:sz w:val="2"/>
          <w:lang w:val="fr-FR"/>
        </w:rPr>
      </w:pPr>
    </w:p>
    <w:p w:rsidR="00F77556" w:rsidRPr="00455CA0" w:rsidRDefault="0022344C">
      <w:pPr>
        <w:pStyle w:val="ParagrapheIndent2"/>
        <w:spacing w:line="230" w:lineRule="exact"/>
        <w:ind w:left="20" w:right="20"/>
        <w:jc w:val="both"/>
        <w:rPr>
          <w:b/>
          <w:color w:val="000000"/>
          <w:u w:val="single"/>
          <w:lang w:val="fr-FR"/>
        </w:rPr>
      </w:pPr>
      <w:r w:rsidRPr="00455CA0">
        <w:rPr>
          <w:b/>
          <w:color w:val="000000"/>
          <w:u w:val="single"/>
          <w:lang w:val="fr-FR"/>
        </w:rPr>
        <w:t>Pièces de l'offre :</w:t>
      </w:r>
    </w:p>
    <w:p w:rsidR="00F77556" w:rsidRDefault="00F77556">
      <w:pPr>
        <w:pStyle w:val="ParagrapheIndent2"/>
        <w:spacing w:line="230" w:lineRule="exact"/>
        <w:ind w:left="20" w:right="20"/>
        <w:jc w:val="both"/>
        <w:rPr>
          <w:color w:val="000000"/>
          <w:lang w:val="fr-FR"/>
        </w:rPr>
      </w:pPr>
    </w:p>
    <w:tbl>
      <w:tblPr>
        <w:tblW w:w="9906" w:type="dxa"/>
        <w:tblInd w:w="20" w:type="dxa"/>
        <w:tblLayout w:type="fixed"/>
        <w:tblLook w:val="04A0" w:firstRow="1" w:lastRow="0" w:firstColumn="1" w:lastColumn="0" w:noHBand="0" w:noVBand="1"/>
      </w:tblPr>
      <w:tblGrid>
        <w:gridCol w:w="9906"/>
      </w:tblGrid>
      <w:tr w:rsidR="00455CA0" w:rsidTr="00455CA0">
        <w:trPr>
          <w:trHeight w:val="306"/>
        </w:trPr>
        <w:tc>
          <w:tcPr>
            <w:tcW w:w="9906"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55CA0" w:rsidRDefault="00455CA0">
            <w:pPr>
              <w:spacing w:before="80" w:after="20"/>
              <w:jc w:val="center"/>
              <w:rPr>
                <w:rFonts w:ascii="Arial" w:eastAsia="Arial" w:hAnsi="Arial" w:cs="Arial"/>
                <w:color w:val="000000"/>
                <w:sz w:val="20"/>
                <w:lang w:val="fr-FR"/>
              </w:rPr>
            </w:pPr>
            <w:r>
              <w:rPr>
                <w:rFonts w:ascii="Arial" w:eastAsia="Arial" w:hAnsi="Arial" w:cs="Arial"/>
                <w:color w:val="000000"/>
                <w:sz w:val="20"/>
                <w:lang w:val="fr-FR"/>
              </w:rPr>
              <w:t>Libellés</w:t>
            </w:r>
          </w:p>
        </w:tc>
      </w:tr>
      <w:tr w:rsidR="00455CA0" w:rsidRPr="00F857EF" w:rsidTr="00455CA0">
        <w:trPr>
          <w:trHeight w:val="342"/>
        </w:trPr>
        <w:tc>
          <w:tcPr>
            <w:tcW w:w="9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before="100" w:after="20"/>
              <w:ind w:left="80" w:right="80"/>
              <w:rPr>
                <w:rFonts w:ascii="Arial" w:eastAsia="Arial" w:hAnsi="Arial" w:cs="Arial"/>
                <w:color w:val="000000"/>
                <w:sz w:val="20"/>
                <w:lang w:val="fr-FR"/>
              </w:rPr>
            </w:pPr>
            <w:r>
              <w:rPr>
                <w:rFonts w:ascii="Arial" w:eastAsia="Arial" w:hAnsi="Arial" w:cs="Arial"/>
                <w:color w:val="000000"/>
                <w:sz w:val="20"/>
                <w:lang w:val="fr-FR"/>
              </w:rPr>
              <w:t>L'acte d'engagement (AE) et ses annexes</w:t>
            </w:r>
          </w:p>
        </w:tc>
      </w:tr>
      <w:tr w:rsidR="00455CA0" w:rsidRPr="00F857EF" w:rsidTr="00455CA0">
        <w:trPr>
          <w:trHeight w:val="342"/>
        </w:trPr>
        <w:tc>
          <w:tcPr>
            <w:tcW w:w="9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before="100" w:after="20"/>
              <w:ind w:left="80" w:right="80"/>
              <w:rPr>
                <w:rFonts w:ascii="Arial" w:eastAsia="Arial" w:hAnsi="Arial" w:cs="Arial"/>
                <w:color w:val="000000"/>
                <w:sz w:val="20"/>
                <w:lang w:val="fr-FR"/>
              </w:rPr>
            </w:pPr>
            <w:r>
              <w:rPr>
                <w:rFonts w:ascii="Arial" w:eastAsia="Arial" w:hAnsi="Arial" w:cs="Arial"/>
                <w:color w:val="000000"/>
                <w:sz w:val="20"/>
                <w:lang w:val="fr-FR"/>
              </w:rPr>
              <w:t>Le bordereau des prix unitaires (BPU)</w:t>
            </w:r>
          </w:p>
        </w:tc>
      </w:tr>
      <w:tr w:rsidR="00455CA0" w:rsidRPr="00F857EF" w:rsidTr="00455CA0">
        <w:trPr>
          <w:trHeight w:val="342"/>
        </w:trPr>
        <w:tc>
          <w:tcPr>
            <w:tcW w:w="9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before="100" w:after="20"/>
              <w:ind w:left="80" w:right="80"/>
              <w:rPr>
                <w:rFonts w:ascii="Arial" w:eastAsia="Arial" w:hAnsi="Arial" w:cs="Arial"/>
                <w:color w:val="000000"/>
                <w:sz w:val="20"/>
                <w:lang w:val="fr-FR"/>
              </w:rPr>
            </w:pPr>
            <w:r>
              <w:rPr>
                <w:rFonts w:ascii="Arial" w:eastAsia="Arial" w:hAnsi="Arial" w:cs="Arial"/>
                <w:color w:val="000000"/>
                <w:sz w:val="20"/>
                <w:lang w:val="fr-FR"/>
              </w:rPr>
              <w:t>Le détail quantitatif estimatif (DQE)</w:t>
            </w:r>
          </w:p>
        </w:tc>
      </w:tr>
      <w:tr w:rsidR="00455CA0" w:rsidRPr="00F857EF" w:rsidTr="00455CA0">
        <w:trPr>
          <w:trHeight w:val="396"/>
        </w:trPr>
        <w:tc>
          <w:tcPr>
            <w:tcW w:w="990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line="230" w:lineRule="exact"/>
              <w:ind w:left="80" w:right="80"/>
              <w:rPr>
                <w:rFonts w:ascii="Arial" w:eastAsia="Arial" w:hAnsi="Arial" w:cs="Arial"/>
                <w:color w:val="000000"/>
                <w:sz w:val="20"/>
                <w:lang w:val="fr-FR"/>
              </w:rPr>
            </w:pPr>
            <w:r>
              <w:rPr>
                <w:rFonts w:ascii="Arial" w:eastAsia="Arial" w:hAnsi="Arial" w:cs="Arial"/>
                <w:color w:val="000000"/>
                <w:sz w:val="20"/>
                <w:lang w:val="fr-FR"/>
              </w:rPr>
              <w:t>Le mémoire justificatif des dispositions que l'entreprise se propose d'adopter pour l'exécution du contrat</w:t>
            </w:r>
          </w:p>
        </w:tc>
      </w:tr>
    </w:tbl>
    <w:p w:rsidR="00F77556" w:rsidRPr="00455CA0" w:rsidRDefault="0022344C">
      <w:pPr>
        <w:spacing w:line="240" w:lineRule="exact"/>
        <w:rPr>
          <w:lang w:val="fr-FR"/>
        </w:rPr>
      </w:pPr>
      <w:r w:rsidRPr="00455CA0">
        <w:rPr>
          <w:lang w:val="fr-FR"/>
        </w:rPr>
        <w:t xml:space="preserve"> </w:t>
      </w:r>
    </w:p>
    <w:p w:rsidR="00455CA0" w:rsidRPr="00157F10" w:rsidRDefault="00455CA0" w:rsidP="00455CA0">
      <w:pPr>
        <w:pBdr>
          <w:top w:val="single" w:sz="4" w:space="1" w:color="auto"/>
          <w:left w:val="single" w:sz="4" w:space="0" w:color="auto"/>
          <w:bottom w:val="single" w:sz="4" w:space="1" w:color="auto"/>
          <w:right w:val="single" w:sz="4" w:space="4" w:color="auto"/>
        </w:pBdr>
        <w:spacing w:after="200" w:line="240" w:lineRule="exact"/>
        <w:jc w:val="both"/>
        <w:rPr>
          <w:b/>
          <w:lang w:val="fr-FR"/>
        </w:rPr>
      </w:pPr>
      <w:r w:rsidRPr="00157F10">
        <w:rPr>
          <w:b/>
          <w:lang w:val="fr-FR"/>
        </w:rPr>
        <w:t>Les cahiers des charges (CCAP et CCTP) et leur annexe ne sont pas à joindre à l’offre. Il est rappelé que les candidats s’engagent à accepter sans restriction ni réserves les documents régissant le marché sous peine de rendre leur offre irrecevable. Les documents ne peuvent être modifiés par les candidats, seule la version détenue par la collectivité fait foi.</w:t>
      </w:r>
    </w:p>
    <w:p w:rsidR="00F77556" w:rsidRPr="00455CA0" w:rsidRDefault="00F77556">
      <w:pPr>
        <w:spacing w:after="80" w:line="240" w:lineRule="exact"/>
        <w:rPr>
          <w:lang w:val="fr-FR"/>
        </w:rPr>
      </w:pPr>
    </w:p>
    <w:p w:rsidR="00F77556" w:rsidRDefault="0022344C">
      <w:pPr>
        <w:pStyle w:val="ParagrapheIndent2"/>
        <w:spacing w:after="240" w:line="230" w:lineRule="exact"/>
        <w:ind w:left="20" w:right="20"/>
        <w:jc w:val="both"/>
        <w:rPr>
          <w:color w:val="000000"/>
          <w:lang w:val="fr-FR"/>
        </w:rPr>
      </w:pPr>
      <w:r>
        <w:rPr>
          <w:color w:val="000000"/>
          <w:lang w:val="fr-FR"/>
        </w:rPr>
        <w:t>L'offre, qu'elle soit présentée par une seule entreprise ou par un groupement, devra indiquer tous les sous-traitants connus lors de son dépôt. Elle devra également indiquer les prestations dont la sous-traitance est envisagée, la dénomination et la qualité des sous-traitants.</w:t>
      </w:r>
    </w:p>
    <w:p w:rsidR="00455CA0" w:rsidRDefault="00455CA0" w:rsidP="00455CA0">
      <w:pPr>
        <w:pStyle w:val="Titre1"/>
        <w:rPr>
          <w:rFonts w:eastAsia="Arial"/>
          <w:color w:val="000000"/>
          <w:sz w:val="28"/>
          <w:lang w:val="fr-FR"/>
        </w:rPr>
      </w:pPr>
      <w:bookmarkStart w:id="19" w:name="_Toc56664174"/>
      <w:r>
        <w:rPr>
          <w:rFonts w:eastAsia="Arial"/>
          <w:color w:val="000000"/>
          <w:sz w:val="28"/>
          <w:lang w:val="fr-FR"/>
        </w:rPr>
        <w:t>6 - Conditions d'envoi ou de remise des plis</w:t>
      </w:r>
      <w:bookmarkEnd w:id="19"/>
    </w:p>
    <w:p w:rsidR="00455CA0" w:rsidRDefault="00455CA0" w:rsidP="00455CA0">
      <w:pPr>
        <w:spacing w:after="240" w:line="230" w:lineRule="exact"/>
        <w:ind w:left="20" w:right="20" w:firstLine="280"/>
        <w:jc w:val="both"/>
        <w:rPr>
          <w:rFonts w:ascii="Arial" w:eastAsia="Arial" w:hAnsi="Arial" w:cs="Arial"/>
          <w:b/>
          <w:color w:val="000000"/>
          <w:lang w:val="fr-FR"/>
        </w:rPr>
      </w:pPr>
      <w:r>
        <w:rPr>
          <w:rFonts w:ascii="Arial" w:eastAsia="Arial" w:hAnsi="Arial" w:cs="Arial"/>
          <w:b/>
          <w:color w:val="000000"/>
          <w:lang w:val="fr-FR"/>
        </w:rPr>
        <w:t>6.1 – Présentation des documents d’offre</w:t>
      </w:r>
    </w:p>
    <w:p w:rsidR="00455CA0" w:rsidRDefault="00455CA0" w:rsidP="00455CA0">
      <w:pPr>
        <w:spacing w:after="240"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Pour chacun des documents constituant le DCE, la règle de nommage suivante a été arrêtée :</w:t>
      </w:r>
    </w:p>
    <w:p w:rsidR="00455CA0" w:rsidRDefault="00455CA0" w:rsidP="00455CA0">
      <w:pPr>
        <w:pStyle w:val="Paragraphedeliste"/>
        <w:numPr>
          <w:ilvl w:val="0"/>
          <w:numId w:val="2"/>
        </w:numPr>
        <w:spacing w:after="240" w:line="230" w:lineRule="exact"/>
        <w:ind w:right="20"/>
        <w:jc w:val="both"/>
        <w:rPr>
          <w:rFonts w:ascii="Arial" w:eastAsia="Arial" w:hAnsi="Arial" w:cs="Arial"/>
          <w:color w:val="000000"/>
          <w:sz w:val="20"/>
          <w:lang w:val="fr-FR"/>
        </w:rPr>
      </w:pPr>
      <w:r>
        <w:rPr>
          <w:rFonts w:ascii="Arial" w:eastAsia="Arial" w:hAnsi="Arial" w:cs="Arial"/>
          <w:color w:val="000000"/>
          <w:sz w:val="20"/>
          <w:lang w:val="fr-FR"/>
        </w:rPr>
        <w:t>Nom de la pièce + numéro du dossier de consultation ;</w:t>
      </w:r>
    </w:p>
    <w:p w:rsidR="00455CA0" w:rsidRDefault="00455CA0" w:rsidP="00455CA0">
      <w:pPr>
        <w:spacing w:after="240" w:line="230" w:lineRule="exact"/>
        <w:ind w:right="20"/>
        <w:jc w:val="both"/>
        <w:rPr>
          <w:rFonts w:ascii="Arial" w:eastAsia="Arial" w:hAnsi="Arial" w:cs="Arial"/>
          <w:color w:val="000000"/>
          <w:sz w:val="20"/>
          <w:lang w:val="fr-FR"/>
        </w:rPr>
      </w:pPr>
      <w:r>
        <w:rPr>
          <w:rFonts w:ascii="Arial" w:eastAsia="Arial" w:hAnsi="Arial" w:cs="Arial"/>
          <w:color w:val="000000"/>
          <w:sz w:val="20"/>
          <w:lang w:val="fr-FR"/>
        </w:rPr>
        <w:t>La même logique de nommage serait respectée par l’opérateur économique pour les fichiers créés par celui-ci et figurant dans son dossier d’offre et de candidature. </w:t>
      </w:r>
    </w:p>
    <w:p w:rsidR="00455CA0" w:rsidRDefault="00455CA0" w:rsidP="00455CA0">
      <w:pPr>
        <w:spacing w:after="240" w:line="230" w:lineRule="exact"/>
        <w:ind w:right="20"/>
        <w:jc w:val="both"/>
        <w:rPr>
          <w:rFonts w:ascii="Arial" w:eastAsia="Arial" w:hAnsi="Arial" w:cs="Arial"/>
          <w:color w:val="000000"/>
          <w:sz w:val="20"/>
          <w:lang w:val="fr-FR"/>
        </w:rPr>
      </w:pPr>
      <w:r>
        <w:rPr>
          <w:rFonts w:ascii="Arial" w:eastAsia="Arial" w:hAnsi="Arial" w:cs="Arial"/>
          <w:color w:val="000000"/>
          <w:sz w:val="20"/>
          <w:lang w:val="fr-FR"/>
        </w:rPr>
        <w:t>Il est proposé au candidat dans le cadre du nommage de leurs pièces d’offre, d’utiliser cette règle en rajoutant le sigle de l’opérateur économique ou celui du mandataire (dans le cas d’un groupement).</w:t>
      </w:r>
    </w:p>
    <w:p w:rsidR="00455CA0" w:rsidRDefault="00455CA0" w:rsidP="00455CA0">
      <w:pPr>
        <w:spacing w:after="240" w:line="230" w:lineRule="exact"/>
        <w:ind w:right="20"/>
        <w:jc w:val="both"/>
        <w:rPr>
          <w:rFonts w:ascii="Arial" w:eastAsia="Arial" w:hAnsi="Arial" w:cs="Arial"/>
          <w:b/>
          <w:color w:val="000000"/>
          <w:sz w:val="20"/>
          <w:lang w:val="fr-FR"/>
        </w:rPr>
      </w:pPr>
      <w:r>
        <w:rPr>
          <w:rFonts w:ascii="Arial" w:eastAsia="Arial" w:hAnsi="Arial" w:cs="Arial"/>
          <w:b/>
          <w:color w:val="000000"/>
          <w:sz w:val="20"/>
          <w:lang w:val="fr-FR"/>
        </w:rPr>
        <w:t xml:space="preserve">EXEMPLE : </w:t>
      </w:r>
    </w:p>
    <w:p w:rsidR="00455CA0" w:rsidRDefault="00455CA0" w:rsidP="00455CA0">
      <w:pPr>
        <w:spacing w:after="240" w:line="230" w:lineRule="exact"/>
        <w:ind w:right="20"/>
        <w:jc w:val="both"/>
        <w:rPr>
          <w:rFonts w:ascii="Arial" w:eastAsia="Arial" w:hAnsi="Arial" w:cs="Arial"/>
          <w:b/>
          <w:color w:val="000000"/>
          <w:sz w:val="20"/>
          <w:lang w:val="fr-FR"/>
        </w:rPr>
      </w:pPr>
      <w:r>
        <w:rPr>
          <w:rFonts w:ascii="Arial" w:eastAsia="Arial" w:hAnsi="Arial" w:cs="Arial"/>
          <w:b/>
          <w:color w:val="000000"/>
          <w:sz w:val="20"/>
          <w:lang w:val="fr-FR"/>
        </w:rPr>
        <w:t>Pour l’acte d’engagement (AE) : « </w:t>
      </w:r>
      <w:r w:rsidRPr="0034313E">
        <w:rPr>
          <w:rFonts w:ascii="Arial" w:eastAsia="Arial" w:hAnsi="Arial" w:cs="Arial"/>
          <w:b/>
          <w:color w:val="000000"/>
          <w:sz w:val="20"/>
          <w:lang w:val="fr-FR"/>
        </w:rPr>
        <w:t>AE1</w:t>
      </w:r>
      <w:r>
        <w:rPr>
          <w:rFonts w:ascii="Arial" w:eastAsia="Arial" w:hAnsi="Arial" w:cs="Arial"/>
          <w:b/>
          <w:color w:val="000000"/>
          <w:sz w:val="20"/>
          <w:lang w:val="fr-FR"/>
        </w:rPr>
        <w:t>9FS003» auquel vous apposez la représentation du nom du candidat comme indiquée ci-dessus.</w:t>
      </w:r>
    </w:p>
    <w:p w:rsidR="00455CA0" w:rsidRDefault="00455CA0" w:rsidP="00455CA0">
      <w:pPr>
        <w:pStyle w:val="Titre2"/>
        <w:ind w:left="300" w:right="20"/>
        <w:rPr>
          <w:rFonts w:eastAsia="Arial"/>
          <w:i w:val="0"/>
          <w:color w:val="000000"/>
          <w:sz w:val="24"/>
          <w:lang w:val="fr-FR"/>
        </w:rPr>
      </w:pPr>
      <w:bookmarkStart w:id="20" w:name="_Toc527710119"/>
      <w:bookmarkStart w:id="21" w:name="_Toc940342"/>
      <w:bookmarkStart w:id="22" w:name="_Toc56664175"/>
      <w:r>
        <w:rPr>
          <w:rFonts w:eastAsia="Arial"/>
          <w:i w:val="0"/>
          <w:color w:val="000000"/>
          <w:sz w:val="24"/>
          <w:lang w:val="fr-FR"/>
        </w:rPr>
        <w:t>6.2 - Transmission électronique des documents</w:t>
      </w:r>
      <w:bookmarkEnd w:id="20"/>
      <w:bookmarkEnd w:id="21"/>
      <w:bookmarkEnd w:id="22"/>
    </w:p>
    <w:p w:rsidR="00455CA0" w:rsidRDefault="00455CA0" w:rsidP="00455CA0">
      <w:pPr>
        <w:spacing w:after="240"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Les plis devront parvenir à destination avant la date et l'heure limites de réception des offres indiquées dans l’avis d’appel public à la concurrence.</w:t>
      </w:r>
    </w:p>
    <w:p w:rsidR="00455CA0" w:rsidRDefault="00455CA0" w:rsidP="00455CA0">
      <w:pPr>
        <w:spacing w:line="230" w:lineRule="exact"/>
        <w:ind w:left="20" w:right="20"/>
        <w:jc w:val="both"/>
        <w:rPr>
          <w:rFonts w:ascii="Arial" w:eastAsia="Arial" w:hAnsi="Arial" w:cs="Arial"/>
          <w:b/>
          <w:color w:val="000000"/>
          <w:sz w:val="20"/>
          <w:lang w:val="fr-FR"/>
        </w:rPr>
      </w:pPr>
      <w:r>
        <w:rPr>
          <w:rFonts w:ascii="Arial" w:eastAsia="Arial" w:hAnsi="Arial" w:cs="Arial"/>
          <w:color w:val="000000"/>
          <w:sz w:val="20"/>
          <w:lang w:val="fr-FR"/>
        </w:rPr>
        <w:t xml:space="preserve">La transmission des documents (pièces de la candidature et des offres)  par voie électronique est effectuée sur le profil d'acheteur du pouvoir adjudicateur, à l'adresse URL suivante </w:t>
      </w:r>
      <w:r>
        <w:rPr>
          <w:rFonts w:ascii="Arial" w:eastAsia="Arial" w:hAnsi="Arial" w:cs="Arial"/>
          <w:b/>
          <w:color w:val="000000"/>
          <w:sz w:val="20"/>
          <w:lang w:val="fr-FR"/>
        </w:rPr>
        <w:t xml:space="preserve">: </w:t>
      </w:r>
    </w:p>
    <w:p w:rsidR="00455CA0" w:rsidRDefault="00F857EF" w:rsidP="00455CA0">
      <w:pPr>
        <w:spacing w:line="230" w:lineRule="exact"/>
        <w:ind w:left="20" w:right="20"/>
        <w:jc w:val="both"/>
        <w:rPr>
          <w:rFonts w:ascii="Arial" w:eastAsia="Arial" w:hAnsi="Arial" w:cs="Arial"/>
          <w:b/>
          <w:color w:val="000000"/>
          <w:sz w:val="20"/>
          <w:lang w:val="fr-FR"/>
        </w:rPr>
      </w:pPr>
      <w:hyperlink r:id="rId18" w:history="1">
        <w:r w:rsidR="00DD6C03" w:rsidRPr="003826F2">
          <w:rPr>
            <w:rStyle w:val="Lienhypertexte"/>
            <w:rFonts w:ascii="Arial" w:eastAsia="Arial" w:hAnsi="Arial" w:cs="Arial"/>
            <w:b/>
            <w:sz w:val="20"/>
            <w:lang w:val="fr-FR"/>
          </w:rPr>
          <w:t>https://www.marches-securises.fr</w:t>
        </w:r>
      </w:hyperlink>
    </w:p>
    <w:p w:rsidR="00DD6C03" w:rsidRDefault="00DD6C03" w:rsidP="00455CA0">
      <w:pPr>
        <w:spacing w:line="230" w:lineRule="exact"/>
        <w:ind w:left="20" w:right="20"/>
        <w:jc w:val="both"/>
        <w:rPr>
          <w:rFonts w:ascii="Arial" w:eastAsia="Arial" w:hAnsi="Arial" w:cs="Arial"/>
          <w:color w:val="000000"/>
          <w:sz w:val="20"/>
          <w:lang w:val="fr-FR"/>
        </w:rPr>
      </w:pPr>
    </w:p>
    <w:p w:rsidR="00455CA0" w:rsidRDefault="00455CA0" w:rsidP="00455CA0">
      <w:pPr>
        <w:spacing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 xml:space="preserve">En revanche, la transmission des documents sur un support physique électronique (CD-ROM, clé usb...) n'est pas autorisée. </w:t>
      </w:r>
    </w:p>
    <w:p w:rsidR="00455CA0" w:rsidRDefault="00455CA0" w:rsidP="00455CA0">
      <w:pPr>
        <w:spacing w:line="230" w:lineRule="exact"/>
        <w:ind w:left="20" w:right="20"/>
        <w:jc w:val="both"/>
        <w:rPr>
          <w:rFonts w:ascii="Arial" w:eastAsia="Arial" w:hAnsi="Arial" w:cs="Arial"/>
          <w:color w:val="000000"/>
          <w:sz w:val="20"/>
          <w:lang w:val="fr-FR"/>
        </w:rPr>
      </w:pPr>
    </w:p>
    <w:p w:rsidR="00455CA0" w:rsidRDefault="00455CA0" w:rsidP="00455CA0">
      <w:pPr>
        <w:spacing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lastRenderedPageBreak/>
        <w:t xml:space="preserve">Le dossier électronique doit contenir deux dossiers distincts comportant respectivement les pièces de la candidature et </w:t>
      </w:r>
      <w:r w:rsidR="00DD6C03">
        <w:rPr>
          <w:rFonts w:ascii="Arial" w:eastAsia="Arial" w:hAnsi="Arial" w:cs="Arial"/>
          <w:color w:val="000000"/>
          <w:sz w:val="20"/>
          <w:lang w:val="fr-FR"/>
        </w:rPr>
        <w:t xml:space="preserve">les pièces de l’offre définies </w:t>
      </w:r>
      <w:r>
        <w:rPr>
          <w:rFonts w:ascii="Arial" w:eastAsia="Arial" w:hAnsi="Arial" w:cs="Arial"/>
          <w:color w:val="000000"/>
          <w:sz w:val="20"/>
          <w:lang w:val="fr-FR"/>
        </w:rPr>
        <w:t>au présent règlement de la consultation.</w:t>
      </w:r>
    </w:p>
    <w:p w:rsidR="00455CA0" w:rsidRDefault="00455CA0" w:rsidP="00455CA0">
      <w:pPr>
        <w:spacing w:line="230" w:lineRule="exact"/>
        <w:ind w:left="20" w:right="20"/>
        <w:jc w:val="both"/>
        <w:rPr>
          <w:rFonts w:ascii="Arial" w:eastAsia="Arial" w:hAnsi="Arial" w:cs="Arial"/>
          <w:color w:val="000000"/>
          <w:sz w:val="20"/>
          <w:lang w:val="fr-FR"/>
        </w:rPr>
      </w:pPr>
    </w:p>
    <w:p w:rsidR="00455CA0" w:rsidRDefault="00455CA0" w:rsidP="00455CA0">
      <w:pPr>
        <w:spacing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Chaque transmission fera l'objet d'une date certaine de réception et d'un accusé de réception électronique. A ce titre, le fuseau horaire de référence est celui de (GMT-04:00) Martinique. La transmission sera considérée « hors délai » si le téléchargement se termine après la date et l'heure limites de réception des offres.</w:t>
      </w:r>
    </w:p>
    <w:p w:rsidR="00455CA0" w:rsidRDefault="00455CA0" w:rsidP="00455CA0">
      <w:pPr>
        <w:spacing w:line="230" w:lineRule="exact"/>
        <w:ind w:left="20" w:right="20"/>
        <w:jc w:val="both"/>
        <w:rPr>
          <w:rFonts w:ascii="Arial" w:eastAsia="Arial" w:hAnsi="Arial" w:cs="Arial"/>
          <w:color w:val="000000"/>
          <w:sz w:val="20"/>
          <w:lang w:val="fr-FR"/>
        </w:rPr>
      </w:pPr>
    </w:p>
    <w:p w:rsidR="00455CA0" w:rsidRDefault="00455CA0" w:rsidP="00455CA0">
      <w:pPr>
        <w:spacing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Par ailleurs, si plusieurs offres sont successivement transmises par un même soumissionnaire, seule est ouverte la dernière offre reçue par l’acheteur dans le délai fixé pour la remise des offres.</w:t>
      </w:r>
    </w:p>
    <w:p w:rsidR="00455CA0" w:rsidRDefault="00455CA0" w:rsidP="00455CA0">
      <w:pPr>
        <w:ind w:left="20" w:right="20"/>
        <w:rPr>
          <w:rFonts w:ascii="Arial" w:eastAsia="Arial" w:hAnsi="Arial" w:cs="Arial"/>
          <w:color w:val="000000"/>
          <w:sz w:val="20"/>
          <w:lang w:val="fr-FR"/>
        </w:rPr>
      </w:pPr>
    </w:p>
    <w:p w:rsidR="00455CA0" w:rsidRDefault="00455CA0" w:rsidP="00455CA0">
      <w:pPr>
        <w:pStyle w:val="Titre2"/>
        <w:ind w:left="300" w:right="20"/>
        <w:rPr>
          <w:rFonts w:eastAsia="Arial"/>
          <w:i w:val="0"/>
          <w:color w:val="000000"/>
          <w:sz w:val="24"/>
          <w:lang w:val="fr-FR"/>
        </w:rPr>
      </w:pPr>
      <w:bookmarkStart w:id="23" w:name="_Toc527710120"/>
      <w:bookmarkStart w:id="24" w:name="_Toc940343"/>
      <w:bookmarkStart w:id="25" w:name="_Toc56664176"/>
      <w:r>
        <w:rPr>
          <w:rFonts w:eastAsia="Arial"/>
          <w:i w:val="0"/>
          <w:color w:val="000000"/>
          <w:sz w:val="24"/>
          <w:lang w:val="fr-FR"/>
        </w:rPr>
        <w:t>6.3 - Transmission de la copie de sauvegarde</w:t>
      </w:r>
      <w:bookmarkEnd w:id="23"/>
      <w:bookmarkEnd w:id="24"/>
      <w:bookmarkEnd w:id="25"/>
    </w:p>
    <w:p w:rsidR="00455CA0" w:rsidRDefault="00455CA0" w:rsidP="00455CA0">
      <w:pPr>
        <w:rPr>
          <w:rFonts w:ascii="Arial" w:eastAsia="Arial" w:hAnsi="Arial" w:cs="Arial"/>
          <w:sz w:val="20"/>
          <w:szCs w:val="20"/>
          <w:lang w:val="fr-FR"/>
        </w:rPr>
      </w:pPr>
      <w:r>
        <w:rPr>
          <w:rFonts w:ascii="Arial" w:eastAsia="Arial" w:hAnsi="Arial" w:cs="Arial"/>
          <w:sz w:val="20"/>
          <w:szCs w:val="20"/>
          <w:lang w:val="fr-FR"/>
        </w:rPr>
        <w:t>Le pli peut être doublé d’une copie de sauvegarde transmise dans les délais imparties, sur support physique électronique (clé USB ou autre) ou sur support papier. Cette copie est transmise sous pli scellé et comporte obligatoirement les mentions suivantes :</w:t>
      </w:r>
    </w:p>
    <w:p w:rsidR="00455CA0" w:rsidRDefault="00455CA0" w:rsidP="00455CA0">
      <w:pPr>
        <w:rPr>
          <w:rFonts w:ascii="Arial" w:eastAsia="Arial" w:hAnsi="Arial" w:cs="Arial"/>
          <w:sz w:val="20"/>
          <w:szCs w:val="20"/>
          <w:lang w:val="fr-FR"/>
        </w:rPr>
      </w:pPr>
    </w:p>
    <w:tbl>
      <w:tblPr>
        <w:tblStyle w:val="Grilledutableau"/>
        <w:tblW w:w="0" w:type="auto"/>
        <w:tblLook w:val="04A0" w:firstRow="1" w:lastRow="0" w:firstColumn="1" w:lastColumn="0" w:noHBand="0" w:noVBand="1"/>
      </w:tblPr>
      <w:tblGrid>
        <w:gridCol w:w="9622"/>
      </w:tblGrid>
      <w:tr w:rsidR="00455CA0" w:rsidRPr="00F857EF" w:rsidTr="002A544D">
        <w:tc>
          <w:tcPr>
            <w:tcW w:w="9772" w:type="dxa"/>
          </w:tcPr>
          <w:p w:rsidR="00455CA0" w:rsidRPr="00F83CFC" w:rsidRDefault="00455CA0" w:rsidP="002A544D">
            <w:pPr>
              <w:rPr>
                <w:rFonts w:ascii="Arial" w:eastAsia="Arial" w:hAnsi="Arial" w:cs="Arial"/>
                <w:sz w:val="20"/>
                <w:szCs w:val="20"/>
                <w:lang w:val="fr-FR"/>
              </w:rPr>
            </w:pPr>
            <w:r w:rsidRPr="00F83CFC">
              <w:rPr>
                <w:rFonts w:ascii="Arial" w:eastAsia="Arial" w:hAnsi="Arial" w:cs="Arial"/>
                <w:b/>
                <w:sz w:val="20"/>
                <w:szCs w:val="20"/>
                <w:u w:val="single"/>
                <w:lang w:val="fr-FR"/>
              </w:rPr>
              <w:t>Offre pour</w:t>
            </w:r>
            <w:r w:rsidR="00420997">
              <w:rPr>
                <w:rFonts w:ascii="Arial" w:eastAsia="Arial" w:hAnsi="Arial" w:cs="Arial"/>
                <w:sz w:val="20"/>
                <w:szCs w:val="20"/>
                <w:lang w:val="fr-FR"/>
              </w:rPr>
              <w:t> :</w:t>
            </w:r>
          </w:p>
          <w:p w:rsidR="00455CA0" w:rsidRPr="00F83CFC" w:rsidRDefault="00455CA0" w:rsidP="002A544D">
            <w:pPr>
              <w:rPr>
                <w:rFonts w:ascii="Arial" w:eastAsia="Arial" w:hAnsi="Arial" w:cs="Arial"/>
                <w:sz w:val="20"/>
                <w:szCs w:val="20"/>
                <w:lang w:val="fr-FR"/>
              </w:rPr>
            </w:pPr>
          </w:p>
          <w:p w:rsidR="00455CA0" w:rsidRPr="00F84E4E" w:rsidRDefault="00455CA0" w:rsidP="002A544D">
            <w:pPr>
              <w:rPr>
                <w:rFonts w:ascii="Arial" w:eastAsia="Arial" w:hAnsi="Arial" w:cs="Arial"/>
                <w:b/>
                <w:color w:val="FF0000"/>
                <w:sz w:val="20"/>
                <w:szCs w:val="20"/>
                <w:lang w:val="fr-FR"/>
              </w:rPr>
            </w:pPr>
            <w:r w:rsidRPr="00F83CFC">
              <w:rPr>
                <w:rFonts w:ascii="Arial" w:eastAsia="Arial" w:hAnsi="Arial" w:cs="Arial"/>
                <w:b/>
                <w:sz w:val="20"/>
                <w:szCs w:val="20"/>
                <w:lang w:val="fr-FR"/>
              </w:rPr>
              <w:t xml:space="preserve">                  </w:t>
            </w:r>
          </w:p>
          <w:p w:rsidR="00455CA0" w:rsidRPr="00F84E4E" w:rsidRDefault="00455CA0" w:rsidP="002A544D">
            <w:pPr>
              <w:rPr>
                <w:rFonts w:ascii="Arial" w:eastAsia="Arial" w:hAnsi="Arial" w:cs="Arial"/>
                <w:b/>
                <w:color w:val="FF0000"/>
                <w:sz w:val="20"/>
                <w:szCs w:val="20"/>
                <w:lang w:val="fr-FR"/>
              </w:rPr>
            </w:pPr>
          </w:p>
          <w:p w:rsidR="00455CA0" w:rsidRPr="00F83CFC" w:rsidRDefault="00455CA0" w:rsidP="002A544D">
            <w:pPr>
              <w:jc w:val="center"/>
              <w:rPr>
                <w:rFonts w:ascii="Arial" w:eastAsia="Arial" w:hAnsi="Arial" w:cs="Arial"/>
                <w:b/>
                <w:sz w:val="20"/>
                <w:szCs w:val="20"/>
                <w:lang w:val="fr-FR"/>
              </w:rPr>
            </w:pPr>
            <w:r w:rsidRPr="00F83CFC">
              <w:rPr>
                <w:rFonts w:ascii="Arial" w:eastAsia="Arial" w:hAnsi="Arial" w:cs="Arial"/>
                <w:b/>
                <w:sz w:val="20"/>
                <w:szCs w:val="20"/>
                <w:lang w:val="fr-FR"/>
              </w:rPr>
              <w:t>Copie de sauvegarde</w:t>
            </w:r>
          </w:p>
          <w:p w:rsidR="00455CA0" w:rsidRPr="00F83CFC" w:rsidRDefault="00455CA0" w:rsidP="002A544D">
            <w:pPr>
              <w:jc w:val="center"/>
              <w:rPr>
                <w:rFonts w:ascii="Arial" w:eastAsia="Arial" w:hAnsi="Arial" w:cs="Arial"/>
                <w:sz w:val="20"/>
                <w:szCs w:val="20"/>
                <w:lang w:val="fr-FR"/>
              </w:rPr>
            </w:pPr>
            <w:r w:rsidRPr="00F83CFC">
              <w:rPr>
                <w:rFonts w:ascii="Arial" w:eastAsia="Arial" w:hAnsi="Arial" w:cs="Arial"/>
                <w:b/>
                <w:sz w:val="20"/>
                <w:szCs w:val="20"/>
                <w:lang w:val="fr-FR"/>
              </w:rPr>
              <w:t>NE PAS OUVRIR</w:t>
            </w:r>
          </w:p>
        </w:tc>
      </w:tr>
    </w:tbl>
    <w:p w:rsidR="00455CA0" w:rsidRDefault="00455CA0" w:rsidP="00455CA0">
      <w:pPr>
        <w:rPr>
          <w:rFonts w:ascii="Arial" w:eastAsia="Arial" w:hAnsi="Arial" w:cs="Arial"/>
          <w:sz w:val="20"/>
          <w:szCs w:val="20"/>
          <w:lang w:val="fr-FR"/>
        </w:rPr>
      </w:pPr>
    </w:p>
    <w:p w:rsidR="00455CA0" w:rsidRDefault="00455CA0" w:rsidP="00455CA0">
      <w:pPr>
        <w:rPr>
          <w:rFonts w:ascii="Arial" w:eastAsia="Arial" w:hAnsi="Arial" w:cs="Arial"/>
          <w:sz w:val="20"/>
          <w:szCs w:val="20"/>
          <w:lang w:val="fr-FR"/>
        </w:rPr>
      </w:pPr>
      <w:r>
        <w:rPr>
          <w:rFonts w:ascii="Arial" w:eastAsia="Arial" w:hAnsi="Arial" w:cs="Arial"/>
          <w:sz w:val="20"/>
          <w:szCs w:val="20"/>
          <w:lang w:val="fr-FR"/>
        </w:rPr>
        <w:t>Ce pli doit contenir les pièces de la candidature et les pièces de l’offre définies au présent règlement de la consultation. Il devra être envoyé par voie postale ou en recommandé avec avis de réception à l’adresse suivante avant les dates et heures limites mentionnées à l’avis public à la concurrence à :</w:t>
      </w:r>
    </w:p>
    <w:p w:rsidR="00455CA0" w:rsidRDefault="00455CA0" w:rsidP="00455CA0">
      <w:pPr>
        <w:rPr>
          <w:rFonts w:ascii="Arial" w:eastAsia="Arial" w:hAnsi="Arial" w:cs="Arial"/>
          <w:sz w:val="20"/>
          <w:szCs w:val="20"/>
          <w:lang w:val="fr-FR"/>
        </w:rPr>
      </w:pPr>
    </w:p>
    <w:p w:rsidR="00455CA0" w:rsidRDefault="00F3053E" w:rsidP="00455CA0">
      <w:pPr>
        <w:spacing w:line="230" w:lineRule="exact"/>
        <w:ind w:left="20" w:right="20"/>
        <w:jc w:val="center"/>
        <w:rPr>
          <w:rFonts w:ascii="Arial" w:eastAsia="Arial" w:hAnsi="Arial" w:cs="Arial"/>
          <w:b/>
          <w:color w:val="000000"/>
          <w:sz w:val="20"/>
          <w:lang w:val="fr-FR"/>
        </w:rPr>
      </w:pPr>
      <w:r>
        <w:rPr>
          <w:rFonts w:ascii="Arial" w:eastAsia="Arial" w:hAnsi="Arial" w:cs="Arial"/>
          <w:b/>
          <w:color w:val="000000"/>
          <w:sz w:val="20"/>
          <w:lang w:val="fr-FR"/>
        </w:rPr>
        <w:t>COMMUNE DES TROIS</w:t>
      </w:r>
      <w:r w:rsidR="00DD6C03">
        <w:rPr>
          <w:rFonts w:ascii="Arial" w:eastAsia="Arial" w:hAnsi="Arial" w:cs="Arial"/>
          <w:b/>
          <w:color w:val="000000"/>
          <w:sz w:val="20"/>
          <w:lang w:val="fr-FR"/>
        </w:rPr>
        <w:t>-ILETS</w:t>
      </w:r>
    </w:p>
    <w:p w:rsidR="00455CA0" w:rsidRDefault="00455CA0" w:rsidP="00F3053E">
      <w:pPr>
        <w:spacing w:line="230" w:lineRule="exact"/>
        <w:ind w:left="20" w:right="20"/>
        <w:jc w:val="center"/>
        <w:rPr>
          <w:rFonts w:ascii="Arial" w:eastAsia="Arial" w:hAnsi="Arial" w:cs="Arial"/>
          <w:b/>
          <w:color w:val="000000"/>
          <w:sz w:val="20"/>
          <w:lang w:val="fr-FR"/>
        </w:rPr>
      </w:pPr>
      <w:r>
        <w:rPr>
          <w:rFonts w:ascii="Arial" w:eastAsia="Arial" w:hAnsi="Arial" w:cs="Arial"/>
          <w:b/>
          <w:color w:val="000000"/>
          <w:sz w:val="20"/>
          <w:lang w:val="fr-FR"/>
        </w:rPr>
        <w:t xml:space="preserve">DIRECTION GENERALE </w:t>
      </w:r>
      <w:r w:rsidR="00F3053E">
        <w:rPr>
          <w:rFonts w:ascii="Arial" w:eastAsia="Arial" w:hAnsi="Arial" w:cs="Arial"/>
          <w:b/>
          <w:color w:val="000000"/>
          <w:sz w:val="20"/>
          <w:lang w:val="fr-FR"/>
        </w:rPr>
        <w:t xml:space="preserve">DES SERVICES TECHNIQUES/MARCHES PUBLICS </w:t>
      </w:r>
    </w:p>
    <w:p w:rsidR="00455CA0" w:rsidRDefault="00F3053E" w:rsidP="00455CA0">
      <w:pPr>
        <w:spacing w:line="230" w:lineRule="exact"/>
        <w:ind w:left="20" w:right="20"/>
        <w:jc w:val="center"/>
        <w:rPr>
          <w:rFonts w:ascii="Arial" w:eastAsia="Arial" w:hAnsi="Arial" w:cs="Arial"/>
          <w:b/>
          <w:color w:val="000000"/>
          <w:sz w:val="20"/>
          <w:lang w:val="fr-FR"/>
        </w:rPr>
      </w:pPr>
      <w:r>
        <w:rPr>
          <w:rFonts w:ascii="Arial" w:eastAsia="Arial" w:hAnsi="Arial" w:cs="Arial"/>
          <w:b/>
          <w:color w:val="000000"/>
          <w:sz w:val="20"/>
          <w:lang w:val="fr-FR"/>
        </w:rPr>
        <w:t xml:space="preserve">1 Rue Epiphane de MOIRANS </w:t>
      </w:r>
    </w:p>
    <w:p w:rsidR="00F3053E" w:rsidRDefault="00F3053E" w:rsidP="00455CA0">
      <w:pPr>
        <w:spacing w:line="230" w:lineRule="exact"/>
        <w:ind w:left="20" w:right="20"/>
        <w:jc w:val="center"/>
        <w:rPr>
          <w:rFonts w:ascii="Arial" w:eastAsia="Arial" w:hAnsi="Arial" w:cs="Arial"/>
          <w:b/>
          <w:color w:val="000000"/>
          <w:sz w:val="20"/>
          <w:lang w:val="fr-FR"/>
        </w:rPr>
      </w:pPr>
      <w:r>
        <w:rPr>
          <w:rFonts w:ascii="Arial" w:eastAsia="Arial" w:hAnsi="Arial" w:cs="Arial"/>
          <w:b/>
          <w:color w:val="000000"/>
          <w:sz w:val="20"/>
          <w:lang w:val="fr-FR"/>
        </w:rPr>
        <w:t>97229 TROIS-ILETS</w:t>
      </w:r>
    </w:p>
    <w:p w:rsidR="00455CA0" w:rsidRDefault="00455CA0" w:rsidP="00455CA0">
      <w:pPr>
        <w:spacing w:line="230" w:lineRule="exact"/>
        <w:ind w:left="20" w:right="20"/>
        <w:jc w:val="center"/>
        <w:rPr>
          <w:rFonts w:ascii="Arial" w:eastAsia="Arial" w:hAnsi="Arial" w:cs="Arial"/>
          <w:b/>
          <w:color w:val="000000"/>
          <w:sz w:val="20"/>
          <w:lang w:val="fr-FR"/>
        </w:rPr>
      </w:pPr>
    </w:p>
    <w:p w:rsidR="00455CA0" w:rsidRDefault="00455CA0" w:rsidP="00455CA0">
      <w:pPr>
        <w:spacing w:line="230" w:lineRule="exact"/>
        <w:ind w:left="20" w:right="20"/>
        <w:jc w:val="center"/>
        <w:rPr>
          <w:rFonts w:ascii="Arial" w:eastAsia="Arial" w:hAnsi="Arial" w:cs="Arial"/>
          <w:b/>
          <w:color w:val="000000"/>
          <w:sz w:val="20"/>
          <w:lang w:val="fr-FR"/>
        </w:rPr>
      </w:pPr>
      <w:r>
        <w:rPr>
          <w:rFonts w:ascii="Arial" w:eastAsia="Arial" w:hAnsi="Arial" w:cs="Arial"/>
          <w:b/>
          <w:color w:val="000000"/>
          <w:sz w:val="20"/>
          <w:lang w:val="fr-FR"/>
        </w:rPr>
        <w:t>Ou remi</w:t>
      </w:r>
      <w:r w:rsidR="00872B91">
        <w:rPr>
          <w:rFonts w:ascii="Arial" w:eastAsia="Arial" w:hAnsi="Arial" w:cs="Arial"/>
          <w:b/>
          <w:color w:val="000000"/>
          <w:sz w:val="20"/>
          <w:lang w:val="fr-FR"/>
        </w:rPr>
        <w:t>s contre récépissé sur place (prise de rendez-vous au 0596 68 31 11 poste 262)</w:t>
      </w:r>
    </w:p>
    <w:p w:rsidR="00455CA0" w:rsidRDefault="00455CA0" w:rsidP="00455CA0">
      <w:pPr>
        <w:spacing w:line="230" w:lineRule="exact"/>
        <w:ind w:left="20" w:right="20"/>
        <w:jc w:val="center"/>
        <w:rPr>
          <w:rFonts w:ascii="Arial" w:eastAsia="Arial" w:hAnsi="Arial" w:cs="Arial"/>
          <w:b/>
          <w:color w:val="000000"/>
          <w:sz w:val="20"/>
          <w:lang w:val="fr-FR"/>
        </w:rPr>
      </w:pPr>
    </w:p>
    <w:p w:rsidR="00455CA0" w:rsidRDefault="00455CA0" w:rsidP="00455CA0">
      <w:pPr>
        <w:spacing w:line="230" w:lineRule="exact"/>
        <w:ind w:left="20" w:right="20"/>
        <w:rPr>
          <w:rFonts w:ascii="Arial" w:eastAsia="Arial" w:hAnsi="Arial" w:cs="Arial"/>
          <w:color w:val="000000"/>
          <w:sz w:val="20"/>
          <w:lang w:val="fr-FR"/>
        </w:rPr>
      </w:pPr>
      <w:r>
        <w:rPr>
          <w:rFonts w:ascii="Arial" w:eastAsia="Arial" w:hAnsi="Arial" w:cs="Arial"/>
          <w:color w:val="000000"/>
          <w:sz w:val="20"/>
          <w:lang w:val="fr-FR"/>
        </w:rPr>
        <w:t>Les plis qui seraient remis ou dont l’avis de réception serait délivré après la date et l’heure limite précitées ainsi que remis sous enveloppe non cachetée, ne seront pas retenus.</w:t>
      </w:r>
    </w:p>
    <w:p w:rsidR="00455CA0" w:rsidRDefault="00455CA0" w:rsidP="00455CA0">
      <w:pPr>
        <w:spacing w:line="230" w:lineRule="exact"/>
        <w:ind w:left="20" w:right="20"/>
        <w:rPr>
          <w:rFonts w:ascii="Arial" w:eastAsia="Arial" w:hAnsi="Arial" w:cs="Arial"/>
          <w:color w:val="000000"/>
          <w:sz w:val="20"/>
          <w:lang w:val="fr-FR"/>
        </w:rPr>
      </w:pPr>
    </w:p>
    <w:p w:rsidR="00455CA0" w:rsidRDefault="00455CA0" w:rsidP="00455CA0">
      <w:pPr>
        <w:spacing w:line="230" w:lineRule="exact"/>
        <w:ind w:left="20" w:right="20"/>
        <w:rPr>
          <w:rFonts w:ascii="Arial" w:eastAsia="Arial" w:hAnsi="Arial" w:cs="Arial"/>
          <w:color w:val="000000"/>
          <w:sz w:val="20"/>
          <w:lang w:val="fr-FR"/>
        </w:rPr>
      </w:pPr>
      <w:r>
        <w:rPr>
          <w:rFonts w:ascii="Arial" w:eastAsia="Arial" w:hAnsi="Arial" w:cs="Arial"/>
          <w:color w:val="000000"/>
          <w:sz w:val="20"/>
          <w:lang w:val="fr-FR"/>
        </w:rPr>
        <w:t>Aucun format électronique n’est préconisé pour la transmission des documents. Cependant, les fichiers devront être transmis dans des formats largement disponibles</w:t>
      </w:r>
    </w:p>
    <w:p w:rsidR="00455CA0" w:rsidRDefault="00455CA0" w:rsidP="00455CA0">
      <w:pPr>
        <w:spacing w:line="230" w:lineRule="exact"/>
        <w:ind w:left="20" w:right="20"/>
        <w:rPr>
          <w:rFonts w:ascii="Arial" w:eastAsia="Arial" w:hAnsi="Arial" w:cs="Arial"/>
          <w:color w:val="000000"/>
          <w:sz w:val="20"/>
          <w:lang w:val="fr-FR"/>
        </w:rPr>
      </w:pPr>
    </w:p>
    <w:tbl>
      <w:tblPr>
        <w:tblStyle w:val="Grilledutableau"/>
        <w:tblW w:w="0" w:type="auto"/>
        <w:tblInd w:w="20" w:type="dxa"/>
        <w:tblLook w:val="04A0" w:firstRow="1" w:lastRow="0" w:firstColumn="1" w:lastColumn="0" w:noHBand="0" w:noVBand="1"/>
      </w:tblPr>
      <w:tblGrid>
        <w:gridCol w:w="9602"/>
      </w:tblGrid>
      <w:tr w:rsidR="00455CA0" w:rsidRPr="00F857EF" w:rsidTr="002A544D">
        <w:tc>
          <w:tcPr>
            <w:tcW w:w="9772" w:type="dxa"/>
          </w:tcPr>
          <w:p w:rsidR="00455CA0" w:rsidRPr="00F83CFC" w:rsidRDefault="00455CA0" w:rsidP="002A544D">
            <w:pPr>
              <w:spacing w:line="230" w:lineRule="exact"/>
              <w:ind w:right="20"/>
              <w:rPr>
                <w:rFonts w:ascii="Arial" w:eastAsia="Arial" w:hAnsi="Arial" w:cs="Arial"/>
                <w:b/>
                <w:color w:val="000000"/>
                <w:sz w:val="20"/>
                <w:lang w:val="fr-FR"/>
              </w:rPr>
            </w:pPr>
            <w:r w:rsidRPr="00F83CFC">
              <w:rPr>
                <w:rFonts w:ascii="Arial" w:eastAsia="Arial" w:hAnsi="Arial" w:cs="Arial"/>
                <w:b/>
                <w:color w:val="000000"/>
                <w:sz w:val="20"/>
                <w:lang w:val="fr-FR"/>
              </w:rPr>
              <w:t>La signature reste facultative. Toutefois, lorsque le candidat opte pour la signature de son offre, celle-ci devra faire l’objet d’une signature électronique individuelle et conforme au format XAdES, CAdES ou PAdEs. La seule signature électronique du dossier n’emporte pas la signature de l’acte d’engagement contenu dans celui-ci.</w:t>
            </w:r>
          </w:p>
          <w:p w:rsidR="00455CA0" w:rsidRPr="00F83CFC" w:rsidRDefault="00455CA0" w:rsidP="002A544D">
            <w:pPr>
              <w:spacing w:line="230" w:lineRule="exact"/>
              <w:ind w:right="20"/>
              <w:rPr>
                <w:rFonts w:ascii="Arial" w:eastAsia="Arial" w:hAnsi="Arial" w:cs="Arial"/>
                <w:color w:val="000000"/>
                <w:sz w:val="20"/>
                <w:lang w:val="fr-FR"/>
              </w:rPr>
            </w:pPr>
            <w:r w:rsidRPr="00F83CFC">
              <w:rPr>
                <w:rFonts w:ascii="Arial" w:eastAsia="Arial" w:hAnsi="Arial" w:cs="Arial"/>
                <w:b/>
                <w:color w:val="000000"/>
                <w:sz w:val="20"/>
                <w:lang w:val="fr-FR"/>
              </w:rPr>
              <w:t>De même, dans l’hypothèse où le candidat « attributaire du marché » n’aurait pas signé son acte d’engagement, ce dernier sera, au terme de la mise au point du marché, invité à procéder à cette signature</w:t>
            </w:r>
            <w:r w:rsidRPr="00F83CFC">
              <w:rPr>
                <w:rFonts w:ascii="Arial" w:eastAsia="Arial" w:hAnsi="Arial" w:cs="Arial"/>
                <w:color w:val="000000"/>
                <w:sz w:val="20"/>
                <w:lang w:val="fr-FR"/>
              </w:rPr>
              <w:t>.</w:t>
            </w:r>
          </w:p>
        </w:tc>
      </w:tr>
    </w:tbl>
    <w:p w:rsidR="00455CA0" w:rsidRDefault="00455CA0" w:rsidP="00455CA0">
      <w:pPr>
        <w:rPr>
          <w:rFonts w:eastAsia="Arial"/>
          <w:lang w:val="fr-FR"/>
        </w:rPr>
      </w:pPr>
    </w:p>
    <w:p w:rsidR="00455CA0" w:rsidRDefault="00455CA0" w:rsidP="00455CA0">
      <w:pPr>
        <w:spacing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Le niveau de sécurité requis pour le certificat de signature électronique est le niveau (**) du RGS. Les certificats RGS (Référentiel Général de Sécurité) sont référencés dans une liste de confiance française (http://www.lsti-certification.fr/) ou dans une liste de confiance d'un autre Etat-membre de l'Union européenne.</w:t>
      </w:r>
    </w:p>
    <w:p w:rsidR="00455CA0" w:rsidRDefault="00455CA0" w:rsidP="00455CA0">
      <w:pPr>
        <w:spacing w:line="230" w:lineRule="exact"/>
        <w:ind w:left="20" w:right="20"/>
        <w:jc w:val="both"/>
        <w:rPr>
          <w:rFonts w:ascii="Arial" w:eastAsia="Arial" w:hAnsi="Arial" w:cs="Arial"/>
          <w:color w:val="000000"/>
          <w:sz w:val="20"/>
          <w:lang w:val="fr-FR"/>
        </w:rPr>
      </w:pPr>
    </w:p>
    <w:p w:rsidR="00455CA0" w:rsidRDefault="00455CA0" w:rsidP="00455CA0">
      <w:pPr>
        <w:spacing w:after="240"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t>Toutefois, le candidat est libre d'utiliser le certificat de son choix si celui-ci est conforme aux obligations minimales résultant du RGS. Dans ce cas, il doit transmettre tous les éléments nécessaires à la vérification de cette conformité.</w:t>
      </w:r>
    </w:p>
    <w:p w:rsidR="00455CA0" w:rsidRDefault="00455CA0" w:rsidP="00455CA0">
      <w:pPr>
        <w:spacing w:after="240" w:line="230" w:lineRule="exact"/>
        <w:ind w:left="20" w:right="20"/>
        <w:jc w:val="both"/>
        <w:rPr>
          <w:rFonts w:ascii="Arial" w:eastAsia="Arial" w:hAnsi="Arial" w:cs="Arial"/>
          <w:color w:val="000000"/>
          <w:sz w:val="20"/>
          <w:lang w:val="fr-FR"/>
        </w:rPr>
      </w:pPr>
      <w:r>
        <w:rPr>
          <w:rFonts w:ascii="Arial" w:eastAsia="Arial" w:hAnsi="Arial" w:cs="Arial"/>
          <w:color w:val="000000"/>
          <w:sz w:val="20"/>
          <w:lang w:val="fr-FR"/>
        </w:rPr>
        <w:lastRenderedPageBreak/>
        <w:t>Les documents devront être préalablement traités par les candidats par un anti-virus régulièrement mis à jour. Tout document contenant un virus informatique fera l'objet d'un archivage de sécurité et sera réputé n'avoir jamais été reçu. Le candidat concerné en sera informé.</w:t>
      </w:r>
    </w:p>
    <w:p w:rsidR="00455CA0" w:rsidRDefault="00455CA0" w:rsidP="00455CA0">
      <w:pPr>
        <w:autoSpaceDE w:val="0"/>
        <w:autoSpaceDN w:val="0"/>
        <w:rPr>
          <w:rFonts w:ascii="Arial" w:eastAsia="Arial" w:hAnsi="Arial" w:cs="Arial"/>
          <w:color w:val="000000"/>
          <w:sz w:val="20"/>
          <w:lang w:val="fr-FR"/>
        </w:rPr>
      </w:pPr>
      <w:r>
        <w:rPr>
          <w:rFonts w:ascii="Arial" w:eastAsia="Arial" w:hAnsi="Arial" w:cs="Arial"/>
          <w:color w:val="000000"/>
          <w:sz w:val="20"/>
          <w:lang w:val="fr-FR"/>
        </w:rPr>
        <w:t>Les frais d'accès au réseau et de recours à la signature électronique sont à la charge des candidats.</w:t>
      </w:r>
    </w:p>
    <w:p w:rsidR="00455CA0" w:rsidRDefault="00455CA0">
      <w:pPr>
        <w:pStyle w:val="Titre1"/>
        <w:rPr>
          <w:rFonts w:eastAsia="Arial"/>
          <w:color w:val="000000"/>
          <w:sz w:val="28"/>
          <w:lang w:val="fr-FR"/>
        </w:rPr>
      </w:pPr>
    </w:p>
    <w:p w:rsidR="00455CA0" w:rsidRDefault="00455CA0" w:rsidP="00455CA0">
      <w:pPr>
        <w:pStyle w:val="Titre1"/>
        <w:rPr>
          <w:rFonts w:eastAsia="Arial"/>
          <w:color w:val="000000"/>
          <w:sz w:val="28"/>
          <w:lang w:val="fr-FR"/>
        </w:rPr>
      </w:pPr>
      <w:bookmarkStart w:id="26" w:name="_Toc56664177"/>
      <w:r>
        <w:rPr>
          <w:rFonts w:eastAsia="Arial"/>
          <w:color w:val="000000"/>
          <w:sz w:val="28"/>
          <w:lang w:val="fr-FR"/>
        </w:rPr>
        <w:t>7 - Examen des candidatures et des offres</w:t>
      </w:r>
      <w:bookmarkEnd w:id="26"/>
    </w:p>
    <w:p w:rsidR="00455CA0" w:rsidRDefault="00455CA0" w:rsidP="00455CA0">
      <w:pPr>
        <w:pStyle w:val="Titre2"/>
        <w:ind w:left="300" w:right="20"/>
        <w:rPr>
          <w:rFonts w:eastAsia="Arial"/>
          <w:i w:val="0"/>
          <w:color w:val="000000"/>
          <w:sz w:val="24"/>
          <w:lang w:val="fr-FR"/>
        </w:rPr>
      </w:pPr>
      <w:bookmarkStart w:id="27" w:name="_Toc56664178"/>
      <w:r>
        <w:rPr>
          <w:rFonts w:eastAsia="Arial"/>
          <w:i w:val="0"/>
          <w:color w:val="000000"/>
          <w:sz w:val="24"/>
          <w:lang w:val="fr-FR"/>
        </w:rPr>
        <w:t>7.1 - Sélection des candidatures</w:t>
      </w:r>
      <w:bookmarkEnd w:id="27"/>
    </w:p>
    <w:p w:rsidR="00455CA0" w:rsidRDefault="00455CA0" w:rsidP="00455CA0">
      <w:pPr>
        <w:pStyle w:val="ParagrapheIndent2"/>
        <w:spacing w:after="240" w:line="230" w:lineRule="exact"/>
        <w:ind w:left="20" w:right="20"/>
        <w:jc w:val="both"/>
        <w:rPr>
          <w:color w:val="000000"/>
          <w:lang w:val="fr-FR"/>
        </w:rPr>
      </w:pPr>
      <w:r>
        <w:rPr>
          <w:color w:val="000000"/>
          <w:lang w:val="fr-FR"/>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w:t>
      </w:r>
    </w:p>
    <w:p w:rsidR="00455CA0" w:rsidRDefault="00455CA0" w:rsidP="00455CA0">
      <w:pPr>
        <w:pStyle w:val="ParagrapheIndent2"/>
        <w:spacing w:after="240" w:line="230" w:lineRule="exact"/>
        <w:ind w:left="20" w:right="20"/>
        <w:jc w:val="both"/>
        <w:rPr>
          <w:color w:val="000000"/>
          <w:lang w:val="fr-FR"/>
        </w:rPr>
      </w:pPr>
      <w:r>
        <w:rPr>
          <w:color w:val="000000"/>
          <w:lang w:val="fr-FR"/>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rsidR="00455CA0" w:rsidRDefault="00455CA0" w:rsidP="00455CA0">
      <w:pPr>
        <w:pStyle w:val="Titre2"/>
        <w:ind w:left="300" w:right="20"/>
        <w:rPr>
          <w:rFonts w:eastAsia="Arial"/>
          <w:i w:val="0"/>
          <w:color w:val="000000"/>
          <w:sz w:val="24"/>
          <w:lang w:val="fr-FR"/>
        </w:rPr>
      </w:pPr>
      <w:bookmarkStart w:id="28" w:name="_Toc56664179"/>
      <w:r>
        <w:rPr>
          <w:rFonts w:eastAsia="Arial"/>
          <w:i w:val="0"/>
          <w:color w:val="000000"/>
          <w:sz w:val="24"/>
          <w:lang w:val="fr-FR"/>
        </w:rPr>
        <w:t>7.2 - Attribution des marchés</w:t>
      </w:r>
      <w:bookmarkEnd w:id="28"/>
    </w:p>
    <w:p w:rsidR="00455CA0" w:rsidRDefault="00455CA0" w:rsidP="00455CA0">
      <w:pPr>
        <w:pStyle w:val="ParagrapheIndent2"/>
        <w:spacing w:line="230" w:lineRule="exact"/>
        <w:ind w:left="20" w:right="20"/>
        <w:jc w:val="both"/>
        <w:rPr>
          <w:color w:val="000000"/>
          <w:lang w:val="fr-FR"/>
        </w:rPr>
      </w:pPr>
      <w:r>
        <w:rPr>
          <w:color w:val="000000"/>
          <w:lang w:val="fr-FR"/>
        </w:rPr>
        <w:t>Le jugement des offres sera effectué dans les conditions prévues aux articles R.2152-1 et 2152-2 du code de la commande publique et donnera lieu à un classement des offres.</w:t>
      </w:r>
    </w:p>
    <w:p w:rsidR="00455CA0" w:rsidRDefault="00455CA0" w:rsidP="00455CA0">
      <w:pPr>
        <w:pStyle w:val="ParagrapheIndent2"/>
        <w:spacing w:line="230" w:lineRule="exact"/>
        <w:ind w:left="20" w:right="20"/>
        <w:jc w:val="both"/>
        <w:rPr>
          <w:color w:val="000000"/>
          <w:lang w:val="fr-FR"/>
        </w:rPr>
      </w:pPr>
    </w:p>
    <w:p w:rsidR="00455CA0" w:rsidRDefault="00455CA0">
      <w:pPr>
        <w:pStyle w:val="ParagrapheIndent2"/>
        <w:spacing w:line="230" w:lineRule="exact"/>
        <w:ind w:left="20" w:right="20"/>
        <w:jc w:val="both"/>
        <w:rPr>
          <w:color w:val="000000"/>
          <w:lang w:val="fr-FR"/>
        </w:rPr>
      </w:pPr>
      <w:r>
        <w:rPr>
          <w:color w:val="000000"/>
          <w:lang w:val="fr-FR"/>
        </w:rPr>
        <w:t>L'attention des candidats est attirée sur le fait que toute offre irrégulière pourra faire l'objet d'une demande de régularisation, à condition qu'elle ne soit pas anormalement basse. En revanche, toute offre inacceptable ou inappropriée sera éliminée.</w:t>
      </w:r>
    </w:p>
    <w:p w:rsidR="00F77556" w:rsidRDefault="00455CA0">
      <w:pPr>
        <w:pStyle w:val="ParagrapheIndent2"/>
        <w:spacing w:line="230" w:lineRule="exact"/>
        <w:ind w:left="20" w:right="20"/>
        <w:jc w:val="both"/>
        <w:rPr>
          <w:color w:val="000000"/>
          <w:lang w:val="fr-FR"/>
        </w:rPr>
      </w:pPr>
      <w:r>
        <w:rPr>
          <w:color w:val="000000"/>
          <w:lang w:val="fr-FR"/>
        </w:rPr>
        <w:cr/>
      </w:r>
      <w:r w:rsidR="0022344C">
        <w:rPr>
          <w:color w:val="000000"/>
          <w:lang w:val="fr-FR"/>
        </w:rPr>
        <w:t>Les critères retenus pour le jugement des offres sont pondérés de la manière suivante :</w:t>
      </w:r>
    </w:p>
    <w:p w:rsidR="00F77556" w:rsidRDefault="00F77556">
      <w:pPr>
        <w:pStyle w:val="ParagrapheIndent2"/>
        <w:spacing w:line="230"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7800"/>
        <w:gridCol w:w="1800"/>
      </w:tblGrid>
      <w:tr w:rsidR="00F77556">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F77556" w:rsidRDefault="0022344C">
            <w:pPr>
              <w:spacing w:before="80" w:after="20"/>
              <w:jc w:val="center"/>
              <w:rPr>
                <w:rFonts w:ascii="Arial" w:eastAsia="Arial" w:hAnsi="Arial" w:cs="Arial"/>
                <w:color w:val="000000"/>
                <w:sz w:val="20"/>
                <w:lang w:val="fr-FR"/>
              </w:rPr>
            </w:pPr>
            <w:r>
              <w:rPr>
                <w:rFonts w:ascii="Arial" w:eastAsia="Arial" w:hAnsi="Arial" w:cs="Arial"/>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F77556" w:rsidRDefault="0022344C">
            <w:pPr>
              <w:spacing w:before="80" w:after="20"/>
              <w:jc w:val="center"/>
              <w:rPr>
                <w:rFonts w:ascii="Arial" w:eastAsia="Arial" w:hAnsi="Arial" w:cs="Arial"/>
                <w:color w:val="000000"/>
                <w:sz w:val="20"/>
                <w:lang w:val="fr-FR"/>
              </w:rPr>
            </w:pPr>
            <w:r>
              <w:rPr>
                <w:rFonts w:ascii="Arial" w:eastAsia="Arial" w:hAnsi="Arial" w:cs="Arial"/>
                <w:color w:val="000000"/>
                <w:sz w:val="20"/>
                <w:lang w:val="fr-FR"/>
              </w:rPr>
              <w:t>Pondération</w:t>
            </w:r>
          </w:p>
        </w:tc>
      </w:tr>
      <w:tr w:rsidR="00455CA0" w:rsidTr="00A211D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Pr="00455CA0" w:rsidRDefault="00455CA0">
            <w:pPr>
              <w:spacing w:before="120" w:after="40"/>
              <w:ind w:left="80" w:right="80"/>
              <w:rPr>
                <w:rFonts w:ascii="Arial" w:eastAsia="Arial" w:hAnsi="Arial" w:cs="Arial"/>
                <w:b/>
                <w:color w:val="000000"/>
                <w:sz w:val="20"/>
                <w:u w:val="single"/>
                <w:lang w:val="fr-FR"/>
              </w:rPr>
            </w:pPr>
            <w:r w:rsidRPr="00455CA0">
              <w:rPr>
                <w:rFonts w:ascii="Arial" w:eastAsia="Arial" w:hAnsi="Arial" w:cs="Arial"/>
                <w:b/>
                <w:color w:val="000000"/>
                <w:sz w:val="20"/>
                <w:u w:val="single"/>
                <w:lang w:val="fr-FR"/>
              </w:rPr>
              <w:t>1-Valeur technique</w:t>
            </w:r>
          </w:p>
        </w:tc>
        <w:tc>
          <w:tcPr>
            <w:tcW w:w="1800"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55CA0" w:rsidRDefault="00455CA0" w:rsidP="00455CA0">
            <w:pPr>
              <w:spacing w:before="120" w:after="40"/>
              <w:ind w:left="80" w:right="80"/>
              <w:jc w:val="center"/>
              <w:rPr>
                <w:rFonts w:ascii="Arial" w:eastAsia="Arial" w:hAnsi="Arial" w:cs="Arial"/>
                <w:b/>
                <w:color w:val="000000"/>
                <w:sz w:val="20"/>
                <w:lang w:val="fr-FR"/>
              </w:rPr>
            </w:pPr>
          </w:p>
          <w:p w:rsidR="00455CA0" w:rsidRPr="00455CA0" w:rsidRDefault="00455CA0" w:rsidP="00455CA0">
            <w:pPr>
              <w:spacing w:before="120" w:after="40"/>
              <w:ind w:left="80" w:right="80"/>
              <w:jc w:val="center"/>
              <w:rPr>
                <w:rFonts w:ascii="Arial" w:eastAsia="Arial" w:hAnsi="Arial" w:cs="Arial"/>
                <w:b/>
                <w:color w:val="000000"/>
                <w:sz w:val="20"/>
                <w:lang w:val="fr-FR"/>
              </w:rPr>
            </w:pPr>
            <w:r w:rsidRPr="00455CA0">
              <w:rPr>
                <w:rFonts w:ascii="Arial" w:eastAsia="Arial" w:hAnsi="Arial" w:cs="Arial"/>
                <w:b/>
                <w:color w:val="000000"/>
                <w:sz w:val="20"/>
                <w:lang w:val="fr-FR"/>
              </w:rPr>
              <w:t>60.0 %</w:t>
            </w:r>
          </w:p>
          <w:p w:rsidR="00455CA0" w:rsidRPr="00455CA0" w:rsidRDefault="00455CA0" w:rsidP="00455CA0">
            <w:pPr>
              <w:spacing w:before="120" w:after="40"/>
              <w:ind w:left="80" w:right="80"/>
              <w:jc w:val="center"/>
              <w:rPr>
                <w:rFonts w:ascii="Arial" w:eastAsia="Arial" w:hAnsi="Arial" w:cs="Arial"/>
                <w:b/>
                <w:color w:val="000000"/>
                <w:sz w:val="20"/>
                <w:lang w:val="fr-FR"/>
              </w:rPr>
            </w:pPr>
          </w:p>
        </w:tc>
      </w:tr>
      <w:tr w:rsidR="00455CA0" w:rsidRPr="00F857EF" w:rsidTr="00A211D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before="120" w:after="40"/>
              <w:ind w:left="680" w:right="80"/>
              <w:rPr>
                <w:rFonts w:ascii="Arial" w:eastAsia="Arial" w:hAnsi="Arial" w:cs="Arial"/>
                <w:i/>
                <w:color w:val="000000"/>
                <w:sz w:val="20"/>
                <w:lang w:val="fr-FR"/>
              </w:rPr>
            </w:pPr>
            <w:r>
              <w:rPr>
                <w:rFonts w:ascii="Arial" w:eastAsia="Arial" w:hAnsi="Arial" w:cs="Arial"/>
                <w:i/>
                <w:color w:val="000000"/>
                <w:sz w:val="20"/>
                <w:lang w:val="fr-FR"/>
              </w:rPr>
              <w:t>1.1-Expertise des intervenants 30 % du coefficient 6</w:t>
            </w:r>
          </w:p>
        </w:tc>
        <w:tc>
          <w:tcPr>
            <w:tcW w:w="1800" w:type="dxa"/>
            <w:vMerge/>
            <w:tcBorders>
              <w:left w:val="single" w:sz="2" w:space="0" w:color="000000"/>
              <w:right w:val="single" w:sz="2" w:space="0" w:color="000000"/>
            </w:tcBorders>
            <w:tcMar>
              <w:top w:w="0" w:type="dxa"/>
              <w:left w:w="0" w:type="dxa"/>
              <w:bottom w:w="0" w:type="dxa"/>
              <w:right w:w="0" w:type="dxa"/>
            </w:tcMar>
          </w:tcPr>
          <w:p w:rsidR="00455CA0" w:rsidRPr="00455CA0" w:rsidRDefault="00455CA0" w:rsidP="00455CA0">
            <w:pPr>
              <w:spacing w:before="120" w:after="40"/>
              <w:ind w:left="80" w:right="80"/>
              <w:jc w:val="center"/>
              <w:rPr>
                <w:rFonts w:ascii="Arial" w:eastAsia="Arial" w:hAnsi="Arial" w:cs="Arial"/>
                <w:b/>
                <w:i/>
                <w:color w:val="000000"/>
                <w:sz w:val="20"/>
                <w:lang w:val="fr-FR"/>
              </w:rPr>
            </w:pPr>
          </w:p>
        </w:tc>
      </w:tr>
      <w:tr w:rsidR="00455CA0" w:rsidRPr="00F857EF" w:rsidTr="00A211DB">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55CA0" w:rsidRDefault="00455CA0">
            <w:pPr>
              <w:spacing w:before="120" w:after="40"/>
              <w:ind w:left="680" w:right="80"/>
              <w:rPr>
                <w:rFonts w:ascii="Arial" w:eastAsia="Arial" w:hAnsi="Arial" w:cs="Arial"/>
                <w:i/>
                <w:color w:val="000000"/>
                <w:sz w:val="20"/>
                <w:lang w:val="fr-FR"/>
              </w:rPr>
            </w:pPr>
            <w:r>
              <w:rPr>
                <w:rFonts w:ascii="Arial" w:eastAsia="Arial" w:hAnsi="Arial" w:cs="Arial"/>
                <w:i/>
                <w:color w:val="000000"/>
                <w:sz w:val="20"/>
                <w:lang w:val="fr-FR"/>
              </w:rPr>
              <w:t>1.2-Pertinence de la note méthodologique 70% du coefficient 6</w:t>
            </w:r>
          </w:p>
        </w:tc>
        <w:tc>
          <w:tcPr>
            <w:tcW w:w="1800"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55CA0" w:rsidRPr="00455CA0" w:rsidRDefault="00455CA0" w:rsidP="00455CA0">
            <w:pPr>
              <w:spacing w:before="120" w:after="40"/>
              <w:ind w:left="80" w:right="80"/>
              <w:jc w:val="center"/>
              <w:rPr>
                <w:rFonts w:ascii="Arial" w:eastAsia="Arial" w:hAnsi="Arial" w:cs="Arial"/>
                <w:b/>
                <w:i/>
                <w:color w:val="000000"/>
                <w:sz w:val="20"/>
                <w:lang w:val="fr-FR"/>
              </w:rPr>
            </w:pPr>
          </w:p>
        </w:tc>
      </w:tr>
      <w:tr w:rsidR="00F77556">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77556" w:rsidRPr="00455CA0" w:rsidRDefault="0022344C">
            <w:pPr>
              <w:spacing w:before="120" w:after="40"/>
              <w:ind w:left="80" w:right="80"/>
              <w:rPr>
                <w:rFonts w:ascii="Arial" w:eastAsia="Arial" w:hAnsi="Arial" w:cs="Arial"/>
                <w:b/>
                <w:color w:val="000000"/>
                <w:sz w:val="20"/>
                <w:u w:val="single"/>
                <w:lang w:val="fr-FR"/>
              </w:rPr>
            </w:pPr>
            <w:r w:rsidRPr="00455CA0">
              <w:rPr>
                <w:rFonts w:ascii="Arial" w:eastAsia="Arial" w:hAnsi="Arial" w:cs="Arial"/>
                <w:b/>
                <w:color w:val="000000"/>
                <w:sz w:val="20"/>
                <w:u w:val="single"/>
                <w:lang w:val="fr-FR"/>
              </w:rPr>
              <w:t>2-Prix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77556" w:rsidRPr="00455CA0" w:rsidRDefault="0022344C" w:rsidP="00455CA0">
            <w:pPr>
              <w:spacing w:before="120" w:after="40"/>
              <w:ind w:left="80" w:right="80"/>
              <w:jc w:val="center"/>
              <w:rPr>
                <w:rFonts w:ascii="Arial" w:eastAsia="Arial" w:hAnsi="Arial" w:cs="Arial"/>
                <w:b/>
                <w:color w:val="000000"/>
                <w:sz w:val="20"/>
                <w:lang w:val="fr-FR"/>
              </w:rPr>
            </w:pPr>
            <w:r w:rsidRPr="00455CA0">
              <w:rPr>
                <w:rFonts w:ascii="Arial" w:eastAsia="Arial" w:hAnsi="Arial" w:cs="Arial"/>
                <w:b/>
                <w:color w:val="000000"/>
                <w:sz w:val="20"/>
                <w:lang w:val="fr-FR"/>
              </w:rPr>
              <w:t>40.0 %</w:t>
            </w:r>
          </w:p>
        </w:tc>
      </w:tr>
    </w:tbl>
    <w:p w:rsidR="00455CA0" w:rsidRPr="00DD6E01" w:rsidRDefault="0022344C" w:rsidP="00455CA0">
      <w:pPr>
        <w:spacing w:line="240" w:lineRule="exact"/>
        <w:rPr>
          <w:b/>
          <w:sz w:val="20"/>
          <w:szCs w:val="20"/>
          <w:lang w:val="fr-FR"/>
        </w:rPr>
      </w:pPr>
      <w:r w:rsidRPr="00455CA0">
        <w:rPr>
          <w:lang w:val="fr-FR"/>
        </w:rPr>
        <w:t xml:space="preserve"> </w:t>
      </w:r>
      <w:r w:rsidR="00455CA0" w:rsidRPr="00DD6E01">
        <w:rPr>
          <w:b/>
          <w:sz w:val="20"/>
          <w:szCs w:val="20"/>
          <w:lang w:val="fr-FR"/>
        </w:rPr>
        <w:t>*La valeur technique sera appréciée sur la base d’un mémoire technique détaillant les sous-critères relatifs aux moyens humains et matériels affectés à la prestation, à l’organisation de l’équipe, et la méthodologie.</w:t>
      </w:r>
    </w:p>
    <w:p w:rsidR="00F77556" w:rsidRPr="00455CA0" w:rsidRDefault="00455CA0" w:rsidP="00455CA0">
      <w:pPr>
        <w:spacing w:line="240" w:lineRule="exact"/>
        <w:rPr>
          <w:lang w:val="fr-FR"/>
        </w:rPr>
      </w:pPr>
      <w:r w:rsidRPr="006B4A0C">
        <w:rPr>
          <w:lang w:val="fr-FR"/>
        </w:rPr>
        <w:t xml:space="preserve"> </w:t>
      </w:r>
    </w:p>
    <w:p w:rsidR="00F77556" w:rsidRDefault="0022344C">
      <w:pPr>
        <w:pStyle w:val="ParagrapheIndent2"/>
        <w:spacing w:after="240" w:line="230" w:lineRule="exact"/>
        <w:ind w:left="20" w:right="20"/>
        <w:jc w:val="both"/>
        <w:rPr>
          <w:color w:val="000000"/>
          <w:lang w:val="fr-FR"/>
        </w:rPr>
      </w:pPr>
      <w:r>
        <w:rPr>
          <w:color w:val="000000"/>
          <w:lang w:val="fr-FR"/>
        </w:rPr>
        <w:t>Dans le cas où des erreurs purement matérielles (de multiplication, d'addition ou de report) seraient constatées entre les indications portées sur le bordereau des prix unitaires et le détail quantitatif estimatif, le bordereau des prix prévaudra et le montant du détail quantitatif estimatif sera rectifié en conséquence. L'entreprise sera invitée à confirmer l'offre ainsi rectifiée ; en cas de refus, son offre sera éliminée comme non cohérente.</w:t>
      </w:r>
    </w:p>
    <w:p w:rsidR="00455CA0" w:rsidRDefault="00455CA0" w:rsidP="00455CA0">
      <w:pPr>
        <w:pStyle w:val="Titre2"/>
        <w:ind w:left="300" w:right="20"/>
        <w:rPr>
          <w:rFonts w:eastAsia="Arial"/>
          <w:i w:val="0"/>
          <w:color w:val="000000"/>
          <w:sz w:val="24"/>
          <w:lang w:val="fr-FR"/>
        </w:rPr>
      </w:pPr>
      <w:bookmarkStart w:id="29" w:name="_Toc56664180"/>
      <w:r>
        <w:rPr>
          <w:rFonts w:eastAsia="Arial"/>
          <w:i w:val="0"/>
          <w:color w:val="000000"/>
          <w:sz w:val="24"/>
          <w:lang w:val="fr-FR"/>
        </w:rPr>
        <w:t>7.3 - Suite à donner à la consultation</w:t>
      </w:r>
      <w:bookmarkEnd w:id="29"/>
    </w:p>
    <w:p w:rsidR="00455CA0" w:rsidRDefault="00455CA0" w:rsidP="00455CA0">
      <w:pPr>
        <w:pStyle w:val="ParagrapheIndent2"/>
        <w:spacing w:after="240" w:line="230" w:lineRule="exact"/>
        <w:ind w:left="20" w:right="20"/>
        <w:jc w:val="both"/>
        <w:rPr>
          <w:color w:val="000000"/>
          <w:lang w:val="fr-FR"/>
        </w:rPr>
      </w:pPr>
      <w:r>
        <w:rPr>
          <w:color w:val="000000"/>
          <w:lang w:val="fr-FR"/>
        </w:rPr>
        <w:t>L'offre la mieux classée sera donc retenue à titre provisoire en attendant que le ou les candidats produisent les certificats et attestations des articles R.2143-6 à 2143-9 du code de la Commande publique. Le délai imparti par le pouvoir adjudicateur pour remettre ces documents ne pourra être supérieur à 10 jours.</w:t>
      </w:r>
    </w:p>
    <w:p w:rsidR="00455CA0" w:rsidRDefault="00455CA0" w:rsidP="00455CA0">
      <w:pPr>
        <w:pStyle w:val="Titre1"/>
        <w:rPr>
          <w:rFonts w:eastAsia="Arial"/>
          <w:color w:val="000000"/>
          <w:sz w:val="28"/>
          <w:lang w:val="fr-FR"/>
        </w:rPr>
      </w:pPr>
      <w:bookmarkStart w:id="30" w:name="_Toc56664181"/>
      <w:r>
        <w:rPr>
          <w:rFonts w:eastAsia="Arial"/>
          <w:color w:val="000000"/>
          <w:sz w:val="28"/>
          <w:lang w:val="fr-FR"/>
        </w:rPr>
        <w:t>8 - Renseignements complémentaires</w:t>
      </w:r>
      <w:bookmarkEnd w:id="30"/>
    </w:p>
    <w:p w:rsidR="00455CA0" w:rsidRDefault="00455CA0" w:rsidP="00455CA0">
      <w:pPr>
        <w:pStyle w:val="Titre2"/>
        <w:ind w:left="300" w:right="20"/>
        <w:rPr>
          <w:rFonts w:eastAsia="Arial"/>
          <w:i w:val="0"/>
          <w:color w:val="000000"/>
          <w:sz w:val="24"/>
          <w:lang w:val="fr-FR"/>
        </w:rPr>
      </w:pPr>
      <w:bookmarkStart w:id="31" w:name="_Toc56664182"/>
      <w:r>
        <w:rPr>
          <w:rFonts w:eastAsia="Arial"/>
          <w:i w:val="0"/>
          <w:color w:val="000000"/>
          <w:sz w:val="24"/>
          <w:lang w:val="fr-FR"/>
        </w:rPr>
        <w:t>8.1 - Adresses supplémentaires et points de contact</w:t>
      </w:r>
      <w:bookmarkEnd w:id="31"/>
    </w:p>
    <w:p w:rsidR="007D75D8" w:rsidRDefault="00455CA0" w:rsidP="00455CA0">
      <w:pPr>
        <w:pStyle w:val="ParagrapheIndent2"/>
        <w:spacing w:after="240" w:line="232" w:lineRule="exact"/>
        <w:ind w:left="20" w:right="20"/>
        <w:jc w:val="both"/>
        <w:rPr>
          <w:color w:val="000000"/>
          <w:lang w:val="fr-FR"/>
        </w:rPr>
      </w:pPr>
      <w:r>
        <w:rPr>
          <w:rFonts w:ascii="Trebuchet MS" w:eastAsia="Trebuchet MS" w:hAnsi="Trebuchet MS" w:cs="Trebuchet MS"/>
          <w:color w:val="000000"/>
          <w:lang w:val="fr-FR"/>
        </w:rPr>
        <w:t>Pour tout renseignement complémentaire concernant cette consultation, les candidats devront faire parvenir au plus tard </w:t>
      </w:r>
      <w:r>
        <w:rPr>
          <w:color w:val="000000"/>
          <w:lang w:val="fr-FR"/>
        </w:rPr>
        <w:t xml:space="preserve">10 jours avant la date limite de réception des offres, une demande écrite par </w:t>
      </w:r>
      <w:r>
        <w:rPr>
          <w:color w:val="000000"/>
          <w:lang w:val="fr-FR"/>
        </w:rPr>
        <w:lastRenderedPageBreak/>
        <w:t xml:space="preserve">l’intermédiaire du profil acheteur du Pouvoir Adjudicateur dont l’adresse URL est la suivante : </w:t>
      </w:r>
      <w:hyperlink r:id="rId19" w:history="1">
        <w:r w:rsidR="007D75D8" w:rsidRPr="009B346B">
          <w:rPr>
            <w:rStyle w:val="Lienhypertexte"/>
            <w:lang w:val="fr-FR"/>
          </w:rPr>
          <w:t>https://www.marches-securises.fr</w:t>
        </w:r>
      </w:hyperlink>
    </w:p>
    <w:p w:rsidR="00455CA0" w:rsidRPr="007D75D8" w:rsidRDefault="00455CA0" w:rsidP="007D75D8">
      <w:pPr>
        <w:pStyle w:val="ParagrapheIndent2"/>
        <w:spacing w:after="240" w:line="232" w:lineRule="exact"/>
        <w:ind w:left="20" w:right="20"/>
        <w:jc w:val="both"/>
        <w:rPr>
          <w:color w:val="000000"/>
          <w:lang w:val="fr-FR"/>
        </w:rPr>
      </w:pPr>
      <w:r>
        <w:rPr>
          <w:color w:val="000000"/>
          <w:lang w:val="fr-FR"/>
        </w:rPr>
        <w:t>.Une réponse sera alors adressée, à toutes les entreprises ayant retiré le dossier ou l’ayant téléchargé après identification,  6 jours au plus tard avant la date limite de réception des offres.</w:t>
      </w:r>
    </w:p>
    <w:p w:rsidR="00455CA0" w:rsidRDefault="00455CA0" w:rsidP="00455CA0">
      <w:pPr>
        <w:rPr>
          <w:rFonts w:ascii="Arial" w:hAnsi="Arial" w:cs="Arial"/>
          <w:sz w:val="20"/>
          <w:szCs w:val="20"/>
          <w:lang w:val="fr-FR"/>
        </w:rPr>
      </w:pPr>
      <w:r w:rsidRPr="00F113C3">
        <w:rPr>
          <w:rFonts w:ascii="Arial" w:hAnsi="Arial" w:cs="Arial"/>
          <w:sz w:val="20"/>
          <w:szCs w:val="20"/>
          <w:lang w:val="fr-FR"/>
        </w:rPr>
        <w:t xml:space="preserve">Les candidats pourront également transmettre leur demande par l’intermédiaire du profil acheteur du pouvoir adjudicateur, dont l’adresse URL est la suivante : </w:t>
      </w:r>
      <w:hyperlink r:id="rId20" w:history="1">
        <w:r w:rsidR="007D75D8" w:rsidRPr="009B346B">
          <w:rPr>
            <w:rStyle w:val="Lienhypertexte"/>
            <w:rFonts w:ascii="Arial" w:hAnsi="Arial" w:cs="Arial"/>
            <w:sz w:val="20"/>
            <w:szCs w:val="20"/>
            <w:lang w:val="fr-FR"/>
          </w:rPr>
          <w:t>https://www.marches-securises.fr</w:t>
        </w:r>
      </w:hyperlink>
    </w:p>
    <w:p w:rsidR="007D75D8" w:rsidRPr="00F113C3" w:rsidRDefault="007D75D8" w:rsidP="00455CA0">
      <w:pPr>
        <w:rPr>
          <w:rFonts w:ascii="Arial" w:hAnsi="Arial" w:cs="Arial"/>
          <w:sz w:val="20"/>
          <w:szCs w:val="20"/>
          <w:lang w:val="fr-FR"/>
        </w:rPr>
      </w:pPr>
    </w:p>
    <w:p w:rsidR="00455CA0" w:rsidRPr="007D75D8" w:rsidRDefault="00455CA0" w:rsidP="007D75D8">
      <w:pPr>
        <w:pStyle w:val="ParagrapheIndent2"/>
        <w:spacing w:after="240" w:line="230" w:lineRule="exact"/>
        <w:ind w:left="20" w:right="20"/>
        <w:jc w:val="both"/>
        <w:rPr>
          <w:color w:val="000000"/>
          <w:szCs w:val="20"/>
          <w:lang w:val="fr-FR"/>
        </w:rPr>
      </w:pPr>
      <w:r w:rsidRPr="00F113C3">
        <w:rPr>
          <w:color w:val="000000"/>
          <w:szCs w:val="20"/>
          <w:lang w:val="fr-FR"/>
        </w:rPr>
        <w:t> </w:t>
      </w:r>
      <w:r>
        <w:rPr>
          <w:color w:val="000000"/>
          <w:lang w:val="fr-FR"/>
        </w:rPr>
        <w:t>Les documents de la consultation sont communiqués aux candidats dans les 6 jours qui suivent la réception de leur demande.</w:t>
      </w:r>
    </w:p>
    <w:p w:rsidR="00455CA0" w:rsidRDefault="00455CA0" w:rsidP="00455CA0">
      <w:pPr>
        <w:pStyle w:val="Titre2"/>
        <w:ind w:left="300" w:right="20"/>
        <w:rPr>
          <w:rFonts w:eastAsia="Arial"/>
          <w:i w:val="0"/>
          <w:color w:val="000000"/>
          <w:sz w:val="24"/>
          <w:lang w:val="fr-FR"/>
        </w:rPr>
      </w:pPr>
      <w:bookmarkStart w:id="32" w:name="_Toc56664183"/>
      <w:r>
        <w:rPr>
          <w:rFonts w:eastAsia="Arial"/>
          <w:i w:val="0"/>
          <w:color w:val="000000"/>
          <w:sz w:val="24"/>
          <w:lang w:val="fr-FR"/>
        </w:rPr>
        <w:t>8.2 - Procédures de recours</w:t>
      </w:r>
      <w:bookmarkEnd w:id="32"/>
    </w:p>
    <w:p w:rsidR="00455CA0" w:rsidRDefault="00455CA0" w:rsidP="00455CA0">
      <w:pPr>
        <w:pStyle w:val="ParagrapheIndent2"/>
        <w:spacing w:line="230" w:lineRule="exact"/>
        <w:ind w:left="20" w:right="20"/>
        <w:jc w:val="both"/>
        <w:rPr>
          <w:color w:val="000000"/>
          <w:lang w:val="fr-FR"/>
        </w:rPr>
      </w:pPr>
      <w:r>
        <w:rPr>
          <w:color w:val="000000"/>
          <w:lang w:val="fr-FR"/>
        </w:rPr>
        <w:t>Le tribunal territorialement compétent est :</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Tribunal Administratif</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Rue du Citronnier</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BP CS171</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97271 SCHOELCHER CEDEX</w:t>
      </w:r>
    </w:p>
    <w:p w:rsidR="00455CA0" w:rsidRPr="00F113C3" w:rsidRDefault="00455CA0" w:rsidP="00455CA0">
      <w:pPr>
        <w:pStyle w:val="ParagrapheIndent2"/>
        <w:spacing w:line="230" w:lineRule="exact"/>
        <w:ind w:left="20" w:right="20"/>
        <w:jc w:val="center"/>
        <w:rPr>
          <w:b/>
          <w:color w:val="000000"/>
          <w:lang w:val="fr-FR"/>
        </w:rPr>
      </w:pP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Tél : 0596 71 66 67</w:t>
      </w:r>
    </w:p>
    <w:p w:rsidR="00455CA0" w:rsidRDefault="00455CA0" w:rsidP="00455CA0">
      <w:pPr>
        <w:pStyle w:val="ParagrapheIndent2"/>
        <w:spacing w:after="240" w:line="230" w:lineRule="exact"/>
        <w:ind w:left="20" w:right="20"/>
        <w:jc w:val="both"/>
        <w:rPr>
          <w:color w:val="000000"/>
          <w:lang w:val="fr-FR"/>
        </w:rPr>
      </w:pPr>
    </w:p>
    <w:p w:rsidR="00455CA0" w:rsidRDefault="00455CA0" w:rsidP="00455CA0">
      <w:pPr>
        <w:pStyle w:val="ParagrapheIndent2"/>
        <w:spacing w:line="230" w:lineRule="exact"/>
        <w:ind w:left="20" w:right="20"/>
        <w:jc w:val="both"/>
        <w:rPr>
          <w:color w:val="000000"/>
          <w:lang w:val="fr-FR"/>
        </w:rPr>
      </w:pPr>
      <w:r>
        <w:rPr>
          <w:color w:val="000000"/>
          <w:lang w:val="fr-FR"/>
        </w:rPr>
        <w:t>Les voies de recours ouvertes aux candidats sont les suivantes : Référé pré-contractuel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pour excès de pouvoir contre une décision administrative prévu aux articles R. 421-1 à R. 421-7 du CJA, et pouvant être exercé dans les 2 mois suivant la notification ou publication de la décision de l'organisme (le recours ne peut plus, toutefois, être exercé après la signature du contrat). Recours de pleine juridiction ouvert aux tiers justifiant d’un intérêt lésé, et pouvant être exercé dans les deux mois suivant la date à laquelle la conclusion du contrat est rendue publique.</w:t>
      </w:r>
      <w:r>
        <w:rPr>
          <w:color w:val="000000"/>
          <w:lang w:val="fr-FR"/>
        </w:rPr>
        <w:cr/>
      </w:r>
    </w:p>
    <w:p w:rsidR="00455CA0" w:rsidRDefault="00455CA0" w:rsidP="00455CA0">
      <w:pPr>
        <w:rPr>
          <w:lang w:val="fr-FR"/>
        </w:rPr>
      </w:pPr>
      <w:r>
        <w:rPr>
          <w:lang w:val="fr-FR"/>
        </w:rPr>
        <w:t xml:space="preserve">Pour obtenir des renseignements relatifs à l’introduction des recours, les candidats devront s’adresser au : </w:t>
      </w:r>
    </w:p>
    <w:p w:rsidR="00455CA0" w:rsidRPr="00F113C3" w:rsidRDefault="00455CA0" w:rsidP="00455CA0">
      <w:pPr>
        <w:rPr>
          <w:lang w:val="fr-FR"/>
        </w:rPr>
      </w:pP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Tribunal Administratif</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Rue du Citronnier</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BP CS171</w:t>
      </w: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97271 SCHOELCHER CEDEX</w:t>
      </w:r>
    </w:p>
    <w:p w:rsidR="00455CA0" w:rsidRPr="00F113C3" w:rsidRDefault="00455CA0" w:rsidP="00455CA0">
      <w:pPr>
        <w:pStyle w:val="ParagrapheIndent2"/>
        <w:spacing w:line="230" w:lineRule="exact"/>
        <w:ind w:left="20" w:right="20"/>
        <w:jc w:val="center"/>
        <w:rPr>
          <w:b/>
          <w:color w:val="000000"/>
          <w:lang w:val="fr-FR"/>
        </w:rPr>
      </w:pPr>
    </w:p>
    <w:p w:rsidR="00455CA0" w:rsidRPr="00F113C3" w:rsidRDefault="00455CA0" w:rsidP="00455CA0">
      <w:pPr>
        <w:pStyle w:val="ParagrapheIndent2"/>
        <w:spacing w:line="230" w:lineRule="exact"/>
        <w:ind w:left="20" w:right="20"/>
        <w:jc w:val="center"/>
        <w:rPr>
          <w:b/>
          <w:color w:val="000000"/>
          <w:lang w:val="fr-FR"/>
        </w:rPr>
      </w:pPr>
      <w:r w:rsidRPr="00F113C3">
        <w:rPr>
          <w:b/>
          <w:color w:val="000000"/>
          <w:lang w:val="fr-FR"/>
        </w:rPr>
        <w:t>Tél : 0596 71 66 67</w:t>
      </w:r>
    </w:p>
    <w:p w:rsidR="00455CA0" w:rsidRPr="00F113C3" w:rsidRDefault="00455CA0" w:rsidP="00455CA0">
      <w:pPr>
        <w:pStyle w:val="ParagrapheIndent2"/>
        <w:spacing w:after="240" w:line="230" w:lineRule="exact"/>
        <w:ind w:left="20" w:right="20"/>
        <w:jc w:val="both"/>
        <w:rPr>
          <w:b/>
          <w:color w:val="000000"/>
          <w:lang w:val="fr-FR"/>
        </w:rPr>
      </w:pPr>
    </w:p>
    <w:p w:rsidR="00455CA0" w:rsidRPr="00250AC5" w:rsidRDefault="00455CA0" w:rsidP="00455CA0">
      <w:pPr>
        <w:spacing w:after="20" w:line="240" w:lineRule="exact"/>
        <w:rPr>
          <w:lang w:val="fr-FR"/>
        </w:rPr>
      </w:pPr>
    </w:p>
    <w:p w:rsidR="00455CA0" w:rsidRDefault="00455CA0" w:rsidP="00455CA0">
      <w:pPr>
        <w:pStyle w:val="ParagrapheIndent2"/>
        <w:spacing w:line="230" w:lineRule="exact"/>
        <w:ind w:left="20" w:right="20"/>
        <w:jc w:val="both"/>
        <w:rPr>
          <w:color w:val="000000"/>
          <w:lang w:val="fr-FR"/>
        </w:rPr>
      </w:pPr>
      <w:r>
        <w:rPr>
          <w:color w:val="000000"/>
          <w:lang w:val="fr-FR"/>
        </w:rPr>
        <w:t>Pour obtenir des renseignements relatifs à l'introduction des recours, les candidats devront s'adresser à :</w:t>
      </w:r>
    </w:p>
    <w:p w:rsidR="00455CA0" w:rsidRDefault="00455CA0" w:rsidP="00455CA0">
      <w:pPr>
        <w:pStyle w:val="ParagrapheIndent2"/>
        <w:spacing w:line="230" w:lineRule="exact"/>
        <w:ind w:left="20" w:right="20"/>
        <w:jc w:val="both"/>
        <w:rPr>
          <w:color w:val="000000"/>
          <w:lang w:val="fr-FR"/>
        </w:rPr>
      </w:pPr>
      <w:r>
        <w:rPr>
          <w:color w:val="000000"/>
          <w:lang w:val="fr-FR"/>
        </w:rPr>
        <w:t>Tribunal Administratif</w:t>
      </w:r>
    </w:p>
    <w:p w:rsidR="00455CA0" w:rsidRDefault="00455CA0" w:rsidP="00455CA0">
      <w:pPr>
        <w:pStyle w:val="ParagrapheIndent2"/>
        <w:spacing w:line="230" w:lineRule="exact"/>
        <w:ind w:left="20" w:right="20"/>
        <w:jc w:val="both"/>
        <w:rPr>
          <w:color w:val="000000"/>
          <w:lang w:val="fr-FR"/>
        </w:rPr>
      </w:pPr>
      <w:r>
        <w:rPr>
          <w:color w:val="000000"/>
          <w:lang w:val="fr-FR"/>
        </w:rPr>
        <w:t>Rue du Citronnier</w:t>
      </w:r>
    </w:p>
    <w:p w:rsidR="00455CA0" w:rsidRDefault="00455CA0" w:rsidP="00455CA0">
      <w:pPr>
        <w:pStyle w:val="ParagrapheIndent2"/>
        <w:spacing w:line="230" w:lineRule="exact"/>
        <w:ind w:left="20" w:right="20"/>
        <w:jc w:val="both"/>
        <w:rPr>
          <w:color w:val="000000"/>
          <w:lang w:val="fr-FR"/>
        </w:rPr>
      </w:pPr>
      <w:r>
        <w:rPr>
          <w:color w:val="000000"/>
          <w:lang w:val="fr-FR"/>
        </w:rPr>
        <w:t>BP CS171</w:t>
      </w:r>
    </w:p>
    <w:p w:rsidR="00455CA0" w:rsidRDefault="00455CA0" w:rsidP="00455CA0">
      <w:pPr>
        <w:pStyle w:val="ParagrapheIndent2"/>
        <w:spacing w:line="230" w:lineRule="exact"/>
        <w:ind w:left="20" w:right="20"/>
        <w:jc w:val="both"/>
        <w:rPr>
          <w:color w:val="000000"/>
          <w:lang w:val="fr-FR"/>
        </w:rPr>
      </w:pPr>
      <w:r>
        <w:rPr>
          <w:color w:val="000000"/>
          <w:lang w:val="fr-FR"/>
        </w:rPr>
        <w:t>97271 SCHOELCHER CEDEX</w:t>
      </w:r>
    </w:p>
    <w:p w:rsidR="00455CA0" w:rsidRDefault="00455CA0" w:rsidP="00455CA0">
      <w:pPr>
        <w:pStyle w:val="ParagrapheIndent2"/>
        <w:spacing w:line="230" w:lineRule="exact"/>
        <w:ind w:left="20" w:right="20"/>
        <w:jc w:val="both"/>
        <w:rPr>
          <w:color w:val="000000"/>
          <w:lang w:val="fr-FR"/>
        </w:rPr>
      </w:pPr>
    </w:p>
    <w:p w:rsidR="00455CA0" w:rsidRDefault="00455CA0" w:rsidP="00455CA0">
      <w:pPr>
        <w:pStyle w:val="ParagrapheIndent2"/>
        <w:spacing w:line="230" w:lineRule="exact"/>
        <w:ind w:left="20" w:right="20"/>
        <w:jc w:val="both"/>
        <w:rPr>
          <w:color w:val="000000"/>
          <w:lang w:val="fr-FR"/>
        </w:rPr>
      </w:pPr>
      <w:r>
        <w:rPr>
          <w:color w:val="000000"/>
          <w:lang w:val="fr-FR"/>
        </w:rPr>
        <w:t>Tél : 0596 71 66 67</w:t>
      </w:r>
    </w:p>
    <w:p w:rsidR="00455CA0" w:rsidRDefault="00455CA0" w:rsidP="00455CA0">
      <w:pPr>
        <w:pStyle w:val="ParagrapheIndent2"/>
        <w:spacing w:after="240" w:line="230" w:lineRule="exact"/>
        <w:ind w:left="20" w:right="20"/>
        <w:jc w:val="both"/>
        <w:rPr>
          <w:color w:val="000000"/>
          <w:lang w:val="fr-FR"/>
        </w:rPr>
      </w:pPr>
    </w:p>
    <w:p w:rsidR="00455CA0" w:rsidRDefault="00455CA0" w:rsidP="00455CA0">
      <w:pPr>
        <w:pStyle w:val="ParagrapheIndent2"/>
        <w:spacing w:line="230" w:lineRule="exact"/>
        <w:ind w:left="20" w:right="20"/>
        <w:jc w:val="both"/>
        <w:rPr>
          <w:color w:val="000000"/>
          <w:lang w:val="fr-FR"/>
        </w:rPr>
      </w:pPr>
      <w:r>
        <w:rPr>
          <w:color w:val="000000"/>
          <w:lang w:val="fr-FR"/>
        </w:rPr>
        <w:t>En cas de difficultés survenant lors de la procédure de passation, l'organe chargé de jouer le rôle de médiateur est :</w:t>
      </w:r>
    </w:p>
    <w:p w:rsidR="00455CA0" w:rsidRDefault="00455CA0" w:rsidP="00455CA0">
      <w:pPr>
        <w:pStyle w:val="ParagrapheIndent2"/>
        <w:spacing w:line="230" w:lineRule="exact"/>
        <w:ind w:left="20" w:right="20"/>
        <w:jc w:val="both"/>
        <w:rPr>
          <w:color w:val="000000"/>
          <w:lang w:val="fr-FR"/>
        </w:rPr>
      </w:pPr>
      <w:r>
        <w:rPr>
          <w:color w:val="000000"/>
          <w:lang w:val="fr-FR"/>
        </w:rPr>
        <w:t>Comité Consultatif du Règlement Amiable des litiges</w:t>
      </w:r>
    </w:p>
    <w:p w:rsidR="00455CA0" w:rsidRDefault="00455CA0" w:rsidP="00455CA0">
      <w:pPr>
        <w:pStyle w:val="ParagrapheIndent2"/>
        <w:spacing w:line="230" w:lineRule="exact"/>
        <w:ind w:left="20" w:right="20"/>
        <w:jc w:val="both"/>
        <w:rPr>
          <w:color w:val="000000"/>
          <w:lang w:val="fr-FR"/>
        </w:rPr>
      </w:pPr>
      <w:r>
        <w:rPr>
          <w:color w:val="000000"/>
          <w:lang w:val="fr-FR"/>
        </w:rPr>
        <w:t>29 Rue Barbet de Jouy</w:t>
      </w:r>
    </w:p>
    <w:p w:rsidR="00455CA0" w:rsidRDefault="00455CA0" w:rsidP="00455CA0">
      <w:pPr>
        <w:pStyle w:val="ParagrapheIndent2"/>
        <w:spacing w:line="230" w:lineRule="exact"/>
        <w:ind w:left="20" w:right="20"/>
        <w:jc w:val="both"/>
        <w:rPr>
          <w:color w:val="000000"/>
          <w:lang w:val="fr-FR"/>
        </w:rPr>
      </w:pPr>
      <w:r>
        <w:rPr>
          <w:color w:val="000000"/>
          <w:lang w:val="fr-FR"/>
        </w:rPr>
        <w:t>75700 PARIS 7</w:t>
      </w:r>
    </w:p>
    <w:sectPr w:rsidR="00455CA0">
      <w:footerReference w:type="default" r:id="rId21"/>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38" w:rsidRDefault="00051238">
      <w:r>
        <w:separator/>
      </w:r>
    </w:p>
  </w:endnote>
  <w:endnote w:type="continuationSeparator" w:id="0">
    <w:p w:rsidR="00051238" w:rsidRDefault="000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E" w:rsidRDefault="003579AE">
    <w:pPr>
      <w:pStyle w:val="Pieddepag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E" w:rsidRDefault="003579AE">
    <w:pPr>
      <w:pStyle w:val="Pieddepag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E" w:rsidRDefault="003579AE">
    <w:pPr>
      <w:pStyle w:val="Pieddepag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56" w:rsidRDefault="00F77556">
    <w:pPr>
      <w:spacing w:line="240" w:lineRule="exact"/>
    </w:pPr>
  </w:p>
  <w:tbl>
    <w:tblPr>
      <w:tblW w:w="0" w:type="auto"/>
      <w:tblInd w:w="20" w:type="dxa"/>
      <w:tblLayout w:type="fixed"/>
      <w:tblLook w:val="04A0" w:firstRow="1" w:lastRow="0" w:firstColumn="1" w:lastColumn="0" w:noHBand="0" w:noVBand="1"/>
    </w:tblPr>
    <w:tblGrid>
      <w:gridCol w:w="5220"/>
      <w:gridCol w:w="4400"/>
    </w:tblGrid>
    <w:tr w:rsidR="00F77556">
      <w:trPr>
        <w:trHeight w:val="260"/>
      </w:trPr>
      <w:tc>
        <w:tcPr>
          <w:tcW w:w="5220" w:type="dxa"/>
          <w:tcMar>
            <w:top w:w="0" w:type="dxa"/>
            <w:left w:w="0" w:type="dxa"/>
            <w:bottom w:w="0" w:type="dxa"/>
            <w:right w:w="0" w:type="dxa"/>
          </w:tcMar>
          <w:vAlign w:val="center"/>
        </w:tcPr>
        <w:p w:rsidR="00F77556" w:rsidRDefault="00F77556">
          <w:pPr>
            <w:pStyle w:val="PiedDePage"/>
            <w:rPr>
              <w:color w:val="000000"/>
              <w:lang w:val="fr-FR"/>
            </w:rPr>
          </w:pPr>
        </w:p>
      </w:tc>
      <w:tc>
        <w:tcPr>
          <w:tcW w:w="4400" w:type="dxa"/>
          <w:tcMar>
            <w:top w:w="0" w:type="dxa"/>
            <w:left w:w="0" w:type="dxa"/>
            <w:bottom w:w="0" w:type="dxa"/>
            <w:right w:w="0" w:type="dxa"/>
          </w:tcMar>
          <w:vAlign w:val="center"/>
        </w:tcPr>
        <w:p w:rsidR="00F77556" w:rsidRDefault="0022344C">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F857EF">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F857EF">
            <w:rPr>
              <w:noProof/>
              <w:color w:val="000000"/>
              <w:lang w:val="fr-FR"/>
            </w:rPr>
            <w:t>10</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38" w:rsidRDefault="00051238">
      <w:r>
        <w:separator/>
      </w:r>
    </w:p>
  </w:footnote>
  <w:footnote w:type="continuationSeparator" w:id="0">
    <w:p w:rsidR="00051238" w:rsidRDefault="000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E" w:rsidRDefault="003579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84" w:rsidRDefault="007D7B84">
    <w:pPr>
      <w:pStyle w:val="En-tte"/>
    </w:pPr>
  </w:p>
  <w:p w:rsidR="007D7B84" w:rsidRDefault="007D7B8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AE" w:rsidRDefault="003579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BDE"/>
    <w:multiLevelType w:val="hybridMultilevel"/>
    <w:tmpl w:val="3B48AF94"/>
    <w:lvl w:ilvl="0" w:tplc="049898C4">
      <w:start w:val="1"/>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5831278"/>
    <w:multiLevelType w:val="hybridMultilevel"/>
    <w:tmpl w:val="99B2D1F2"/>
    <w:lvl w:ilvl="0" w:tplc="1E66B962">
      <w:numFmt w:val="bullet"/>
      <w:lvlText w:val="-"/>
      <w:lvlJc w:val="left"/>
      <w:pPr>
        <w:ind w:left="380" w:hanging="360"/>
      </w:pPr>
      <w:rPr>
        <w:rFonts w:ascii="Arial" w:eastAsia="Arial" w:hAnsi="Arial" w:cs="Aria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6"/>
    <w:rsid w:val="00051238"/>
    <w:rsid w:val="000E59F5"/>
    <w:rsid w:val="0022344C"/>
    <w:rsid w:val="003579AE"/>
    <w:rsid w:val="00420997"/>
    <w:rsid w:val="00455CA0"/>
    <w:rsid w:val="006E2212"/>
    <w:rsid w:val="007D75D8"/>
    <w:rsid w:val="007D7B84"/>
    <w:rsid w:val="00872B91"/>
    <w:rsid w:val="00986043"/>
    <w:rsid w:val="009F589B"/>
    <w:rsid w:val="00A564A1"/>
    <w:rsid w:val="00B5374E"/>
    <w:rsid w:val="00B809A3"/>
    <w:rsid w:val="00C56F72"/>
    <w:rsid w:val="00C62903"/>
    <w:rsid w:val="00D76CB8"/>
    <w:rsid w:val="00D8037C"/>
    <w:rsid w:val="00DD6C03"/>
    <w:rsid w:val="00F27658"/>
    <w:rsid w:val="00F3053E"/>
    <w:rsid w:val="00F47A11"/>
    <w:rsid w:val="00F77556"/>
    <w:rsid w:val="00F84E4E"/>
    <w:rsid w:val="00F857EF"/>
    <w:rsid w:val="00FB3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4818F6-808F-4753-A9C9-7F2444C2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link w:val="Titre2Car"/>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rFonts w:ascii="Arial" w:eastAsia="Arial" w:hAnsi="Arial" w:cs="Arial"/>
      <w:sz w:val="18"/>
    </w:rPr>
  </w:style>
  <w:style w:type="paragraph" w:customStyle="1" w:styleId="ParagrapheIndent2">
    <w:name w:val="ParagrapheIndent2"/>
    <w:basedOn w:val="Normal"/>
    <w:next w:val="Normal"/>
    <w:qFormat/>
    <w:rPr>
      <w:rFonts w:ascii="Arial" w:eastAsia="Arial" w:hAnsi="Arial" w:cs="Arial"/>
      <w:sz w:val="20"/>
    </w:rPr>
  </w:style>
  <w:style w:type="paragraph" w:customStyle="1" w:styleId="style1">
    <w:name w:val="style1"/>
    <w:basedOn w:val="Normal"/>
    <w:next w:val="Normal"/>
    <w:qFormat/>
    <w:rPr>
      <w:rFonts w:ascii="Arial" w:eastAsia="Arial" w:hAnsi="Arial" w:cs="Arial"/>
      <w:sz w:val="20"/>
    </w:rPr>
  </w:style>
  <w:style w:type="paragraph" w:customStyle="1" w:styleId="Valign">
    <w:name w:val="Valign"/>
    <w:basedOn w:val="Normal"/>
    <w:next w:val="Normal"/>
    <w:qFormat/>
    <w:rPr>
      <w:rFonts w:ascii="Arial" w:eastAsia="Arial" w:hAnsi="Arial" w:cs="Arial"/>
      <w:sz w:val="20"/>
    </w:rPr>
  </w:style>
  <w:style w:type="paragraph" w:customStyle="1" w:styleId="tableCF">
    <w:name w:val="table CF"/>
    <w:basedOn w:val="Normal"/>
    <w:next w:val="Normal"/>
    <w:qFormat/>
    <w:rPr>
      <w:rFonts w:ascii="Arial" w:eastAsia="Arial" w:hAnsi="Arial" w:cs="Arial"/>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Arial" w:eastAsia="Arial" w:hAnsi="Arial" w:cs="Arial"/>
      <w:sz w:val="20"/>
    </w:rPr>
  </w:style>
  <w:style w:type="paragraph" w:customStyle="1" w:styleId="ParagrapheIndent1">
    <w:name w:val="ParagrapheIndent1"/>
    <w:basedOn w:val="Normal"/>
    <w:next w:val="Normal"/>
    <w:qFormat/>
    <w:rPr>
      <w:rFonts w:ascii="Arial" w:eastAsia="Arial" w:hAnsi="Arial" w:cs="Arial"/>
      <w:sz w:val="20"/>
    </w:rPr>
  </w:style>
  <w:style w:type="paragraph" w:styleId="TM1">
    <w:name w:val="toc 1"/>
    <w:basedOn w:val="Normal"/>
    <w:next w:val="Normal"/>
    <w:autoRedefine/>
    <w:uiPriority w:val="39"/>
    <w:rsid w:val="00805BCE"/>
  </w:style>
  <w:style w:type="paragraph" w:styleId="TM2">
    <w:name w:val="toc 2"/>
    <w:basedOn w:val="Normal"/>
    <w:next w:val="Normal"/>
    <w:autoRedefine/>
    <w:uiPriority w:val="39"/>
    <w:rsid w:val="00805BCE"/>
    <w:pPr>
      <w:ind w:left="240"/>
    </w:pPr>
  </w:style>
  <w:style w:type="paragraph" w:styleId="Textedebulles">
    <w:name w:val="Balloon Text"/>
    <w:basedOn w:val="Normal"/>
    <w:link w:val="TextedebullesCar"/>
    <w:rsid w:val="00C56F72"/>
    <w:rPr>
      <w:rFonts w:ascii="Tahoma" w:hAnsi="Tahoma" w:cs="Tahoma"/>
      <w:sz w:val="16"/>
      <w:szCs w:val="16"/>
    </w:rPr>
  </w:style>
  <w:style w:type="character" w:customStyle="1" w:styleId="TextedebullesCar">
    <w:name w:val="Texte de bulles Car"/>
    <w:basedOn w:val="Policepardfaut"/>
    <w:link w:val="Textedebulles"/>
    <w:rsid w:val="00C56F72"/>
    <w:rPr>
      <w:rFonts w:ascii="Tahoma" w:hAnsi="Tahoma" w:cs="Tahoma"/>
      <w:sz w:val="16"/>
      <w:szCs w:val="16"/>
    </w:rPr>
  </w:style>
  <w:style w:type="paragraph" w:styleId="Paragraphedeliste">
    <w:name w:val="List Paragraph"/>
    <w:basedOn w:val="Normal"/>
    <w:qFormat/>
    <w:rsid w:val="00C56F72"/>
    <w:pPr>
      <w:ind w:left="720"/>
      <w:contextualSpacing/>
    </w:pPr>
  </w:style>
  <w:style w:type="character" w:customStyle="1" w:styleId="Titre2Car">
    <w:name w:val="Titre 2 Car"/>
    <w:basedOn w:val="Policepardfaut"/>
    <w:link w:val="Titre2"/>
    <w:rsid w:val="00C56F72"/>
    <w:rPr>
      <w:rFonts w:ascii="Arial" w:hAnsi="Arial" w:cs="Arial"/>
      <w:b/>
      <w:bCs/>
      <w:i/>
      <w:iCs/>
      <w:sz w:val="28"/>
      <w:szCs w:val="28"/>
    </w:rPr>
  </w:style>
  <w:style w:type="table" w:styleId="Grilledutableau">
    <w:name w:val="Table Grid"/>
    <w:basedOn w:val="TableauNormal"/>
    <w:rsid w:val="00455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7D7B84"/>
    <w:pPr>
      <w:tabs>
        <w:tab w:val="center" w:pos="4536"/>
        <w:tab w:val="right" w:pos="9072"/>
      </w:tabs>
    </w:pPr>
  </w:style>
  <w:style w:type="character" w:customStyle="1" w:styleId="En-tteCar">
    <w:name w:val="En-tête Car"/>
    <w:basedOn w:val="Policepardfaut"/>
    <w:link w:val="En-tte"/>
    <w:rsid w:val="007D7B84"/>
    <w:rPr>
      <w:sz w:val="24"/>
      <w:szCs w:val="24"/>
    </w:rPr>
  </w:style>
  <w:style w:type="paragraph" w:styleId="Pieddepage0">
    <w:name w:val="footer"/>
    <w:basedOn w:val="Normal"/>
    <w:link w:val="PieddepageCar"/>
    <w:unhideWhenUsed/>
    <w:rsid w:val="007D7B84"/>
    <w:pPr>
      <w:tabs>
        <w:tab w:val="center" w:pos="4536"/>
        <w:tab w:val="right" w:pos="9072"/>
      </w:tabs>
    </w:pPr>
  </w:style>
  <w:style w:type="character" w:customStyle="1" w:styleId="PieddepageCar">
    <w:name w:val="Pied de page Car"/>
    <w:basedOn w:val="Policepardfaut"/>
    <w:link w:val="Pieddepage0"/>
    <w:rsid w:val="007D7B84"/>
    <w:rPr>
      <w:sz w:val="24"/>
      <w:szCs w:val="24"/>
    </w:rPr>
  </w:style>
  <w:style w:type="character" w:styleId="Lienhypertexte">
    <w:name w:val="Hyperlink"/>
    <w:basedOn w:val="Policepardfaut"/>
    <w:unhideWhenUsed/>
    <w:rsid w:val="00D80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hyperlink" Target="https://www.marches-securises.fr"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marches-securises.fr" TargetMode="External"/><Relationship Id="rId2" Type="http://schemas.openxmlformats.org/officeDocument/2006/relationships/styles" Target="styles.xml"/><Relationship Id="rId16" Type="http://schemas.openxmlformats.org/officeDocument/2006/relationships/hyperlink" Target="http://www.marches-securises.fr" TargetMode="External"/><Relationship Id="rId20" Type="http://schemas.openxmlformats.org/officeDocument/2006/relationships/hyperlink" Target="https://www.marches-securis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rches-securises.fr" TargetMode="External"/><Relationship Id="rId4" Type="http://schemas.openxmlformats.org/officeDocument/2006/relationships/webSettings" Target="webSettings.xml"/><Relationship Id="rId9" Type="http://schemas.openxmlformats.org/officeDocument/2006/relationships/hyperlink" Target="https://www.marches-securises.fr"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3207</Words>
  <Characters>19114</Characters>
  <Application>Microsoft Office Word</Application>
  <DocSecurity>0</DocSecurity>
  <Lines>159</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TRAQUE Marilyne</dc:creator>
  <cp:lastModifiedBy>Nicole PERIAN</cp:lastModifiedBy>
  <cp:revision>12</cp:revision>
  <cp:lastPrinted>2020-11-19T12:28:00Z</cp:lastPrinted>
  <dcterms:created xsi:type="dcterms:W3CDTF">2020-11-18T16:30:00Z</dcterms:created>
  <dcterms:modified xsi:type="dcterms:W3CDTF">2020-11-27T14:18:00Z</dcterms:modified>
</cp:coreProperties>
</file>